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0578F" w14:textId="14BED856" w:rsidR="00A66B71" w:rsidRDefault="001319DF" w:rsidP="001319DF">
      <w:pPr>
        <w:ind w:left="2124" w:firstLine="708"/>
        <w:rPr>
          <w:lang w:val="en-GB"/>
        </w:rPr>
      </w:pPr>
      <w:proofErr w:type="spellStart"/>
      <w:r w:rsidRPr="001319DF">
        <w:rPr>
          <w:lang w:val="en-GB"/>
        </w:rPr>
        <w:t>Contributo</w:t>
      </w:r>
      <w:proofErr w:type="spellEnd"/>
      <w:r w:rsidRPr="001319DF">
        <w:rPr>
          <w:lang w:val="en-GB"/>
        </w:rPr>
        <w:t xml:space="preserve"> Rai Rule of Law 202</w:t>
      </w:r>
      <w:r>
        <w:rPr>
          <w:lang w:val="en-GB"/>
        </w:rPr>
        <w:t>6</w:t>
      </w:r>
    </w:p>
    <w:p w14:paraId="4E09089E" w14:textId="5F7966A3" w:rsidR="00104C1B" w:rsidRDefault="001946B6" w:rsidP="00DC7294">
      <w:pPr>
        <w:ind w:left="1416" w:firstLine="708"/>
        <w:jc w:val="both"/>
        <w:rPr>
          <w:b/>
          <w:bCs/>
        </w:rPr>
      </w:pPr>
      <w:r>
        <w:rPr>
          <w:b/>
          <w:bCs/>
        </w:rPr>
        <w:t xml:space="preserve">III. </w:t>
      </w:r>
      <w:r w:rsidRPr="007258ED">
        <w:rPr>
          <w:b/>
          <w:bCs/>
        </w:rPr>
        <w:t xml:space="preserve">Media </w:t>
      </w:r>
      <w:proofErr w:type="spellStart"/>
      <w:r w:rsidRPr="007258ED">
        <w:rPr>
          <w:b/>
          <w:bCs/>
        </w:rPr>
        <w:t>pluralism</w:t>
      </w:r>
      <w:proofErr w:type="spellEnd"/>
      <w:r w:rsidRPr="007258ED">
        <w:rPr>
          <w:b/>
          <w:bCs/>
        </w:rPr>
        <w:t xml:space="preserve"> and media </w:t>
      </w:r>
      <w:proofErr w:type="spellStart"/>
      <w:r w:rsidRPr="007258ED">
        <w:rPr>
          <w:b/>
          <w:bCs/>
        </w:rPr>
        <w:t>freedom</w:t>
      </w:r>
      <w:proofErr w:type="spellEnd"/>
    </w:p>
    <w:p w14:paraId="326678E1" w14:textId="77777777" w:rsidR="00DC7294" w:rsidRDefault="00DC7294" w:rsidP="00DC7294">
      <w:pPr>
        <w:ind w:left="1416" w:firstLine="708"/>
        <w:jc w:val="both"/>
        <w:rPr>
          <w:b/>
          <w:bCs/>
        </w:rPr>
      </w:pPr>
    </w:p>
    <w:p w14:paraId="0CEF319F" w14:textId="2F46E697" w:rsidR="009F48FA" w:rsidRDefault="0019312D" w:rsidP="00104C1B">
      <w:pPr>
        <w:jc w:val="both"/>
        <w:rPr>
          <w:b/>
          <w:bCs/>
        </w:rPr>
      </w:pPr>
      <w:r w:rsidRPr="0019312D">
        <w:rPr>
          <w:b/>
          <w:bCs/>
        </w:rPr>
        <w:t>Salvaguardia contro interferenze governative e politiche</w:t>
      </w:r>
      <w:r w:rsidR="00F15D70">
        <w:rPr>
          <w:b/>
          <w:bCs/>
        </w:rPr>
        <w:t xml:space="preserve"> </w:t>
      </w:r>
    </w:p>
    <w:p w14:paraId="03E11299" w14:textId="34423899" w:rsidR="00E12642" w:rsidRPr="00866E38" w:rsidRDefault="000B2AC9" w:rsidP="00965183">
      <w:pPr>
        <w:jc w:val="both"/>
        <w:rPr>
          <w:i/>
          <w:iCs/>
          <w:u w:val="single"/>
        </w:rPr>
      </w:pPr>
      <w:r w:rsidRPr="00866E38">
        <w:rPr>
          <w:i/>
          <w:iCs/>
          <w:u w:val="single"/>
        </w:rPr>
        <w:t>G</w:t>
      </w:r>
      <w:r w:rsidR="00E12642" w:rsidRPr="00866E38">
        <w:rPr>
          <w:i/>
          <w:iCs/>
          <w:u w:val="single"/>
        </w:rPr>
        <w:t>aranzie per l’indipendenza dei vertici e dei membri degli organi di governo</w:t>
      </w:r>
      <w:r w:rsidR="00A60024" w:rsidRPr="00866E38">
        <w:rPr>
          <w:i/>
          <w:iCs/>
          <w:u w:val="single"/>
        </w:rPr>
        <w:t xml:space="preserve"> </w:t>
      </w:r>
      <w:r w:rsidR="00077B07">
        <w:rPr>
          <w:i/>
          <w:iCs/>
          <w:u w:val="single"/>
        </w:rPr>
        <w:t>–</w:t>
      </w:r>
      <w:r w:rsidR="00A60024" w:rsidRPr="00866E38">
        <w:rPr>
          <w:i/>
          <w:iCs/>
          <w:u w:val="single"/>
        </w:rPr>
        <w:t xml:space="preserve"> EMFA</w:t>
      </w:r>
    </w:p>
    <w:p w14:paraId="05964C21" w14:textId="23B09D37" w:rsidR="006719F6" w:rsidRDefault="006719F6" w:rsidP="006719F6">
      <w:pPr>
        <w:jc w:val="both"/>
      </w:pPr>
      <w:r>
        <w:t>La Concessionaria del servizio pubblico opera in un quadro normativo improntato a trasparenza, pubblicità della proprietà dei media e vigilanza da parte di autorità indipendenti come A</w:t>
      </w:r>
      <w:r w:rsidR="00643C32">
        <w:t>gcom</w:t>
      </w:r>
      <w:r>
        <w:t>, a garanzia di pluralismo e indipendenza editoriale. La Rai, dotata di autonomia finanziaria e operativa, adotta un modello di governance volto a prevenire concentrazioni di potere e a garantire processi decisionali equilibrati. Il TUSMA (d.lgs. 208/2021) disciplina l’assetto societario, prevedendo un C</w:t>
      </w:r>
      <w:r w:rsidR="00F840C7">
        <w:t>D</w:t>
      </w:r>
      <w:r>
        <w:t>A di sette membri nominati da</w:t>
      </w:r>
      <w:r w:rsidR="00DC16FA">
        <w:t>l Parlamento</w:t>
      </w:r>
      <w:r>
        <w:t xml:space="preserve"> (</w:t>
      </w:r>
      <w:r w:rsidR="00DC16FA">
        <w:t>4</w:t>
      </w:r>
      <w:r>
        <w:t xml:space="preserve">), </w:t>
      </w:r>
      <w:r w:rsidR="00DC16FA">
        <w:t>dal Governo (2)</w:t>
      </w:r>
      <w:r>
        <w:t xml:space="preserve"> e </w:t>
      </w:r>
      <w:r w:rsidR="00DC16FA">
        <w:t xml:space="preserve">dai </w:t>
      </w:r>
      <w:r>
        <w:t>dipendenti (1), secondo criteri di competenza, equilibrio di genere e assenza di conflitti di interesse, con esclusione di soggetti titolari o già titolari di cariche politiche</w:t>
      </w:r>
      <w:r w:rsidR="001614D8">
        <w:t xml:space="preserve"> e con mandato triennale</w:t>
      </w:r>
      <w:r>
        <w:t>. Il Presidente è eletto dal C</w:t>
      </w:r>
      <w:r w:rsidR="00F840C7">
        <w:t>D</w:t>
      </w:r>
      <w:r>
        <w:t xml:space="preserve">A previo parere favorevole della Commissione </w:t>
      </w:r>
      <w:r w:rsidR="00F92B46">
        <w:t>P</w:t>
      </w:r>
      <w:r>
        <w:t xml:space="preserve">arlamentare di </w:t>
      </w:r>
      <w:r w:rsidR="00F92B46">
        <w:t>indirizzo generale e vigilanza</w:t>
      </w:r>
      <w:r w:rsidR="001614D8">
        <w:t xml:space="preserve"> dei servizi radiotelevisivi</w:t>
      </w:r>
      <w:r w:rsidR="00F92B46">
        <w:t xml:space="preserve"> (di seguito Commissione di Vigilanza)</w:t>
      </w:r>
      <w:r>
        <w:t>, mentre l’Amministratore Delegato è nominato dal C</w:t>
      </w:r>
      <w:r w:rsidR="00F840C7">
        <w:t>D</w:t>
      </w:r>
      <w:r>
        <w:t>A su proposta dell’assemblea</w:t>
      </w:r>
      <w:r w:rsidR="001614D8">
        <w:t>. La</w:t>
      </w:r>
      <w:r>
        <w:t xml:space="preserve"> revoca dei consiglieri richiede anch’essa il parere positivo della Commissione</w:t>
      </w:r>
      <w:r w:rsidR="001614D8">
        <w:t xml:space="preserve"> di Vigilanza</w:t>
      </w:r>
      <w:r>
        <w:t>, a tutela dell’indipendenza del Servizio Pubblico.</w:t>
      </w:r>
      <w:r w:rsidR="001614D8" w:rsidRPr="001614D8">
        <w:t xml:space="preserve"> </w:t>
      </w:r>
    </w:p>
    <w:p w14:paraId="740761DA" w14:textId="7E68315A" w:rsidR="00AC20A1" w:rsidRDefault="00C45AD9" w:rsidP="006719F6">
      <w:pPr>
        <w:jc w:val="both"/>
      </w:pPr>
      <w:r>
        <w:t>S</w:t>
      </w:r>
      <w:r w:rsidR="00270280">
        <w:t>tante l’entrata in vigore dell’European Media Freedom Act (EMFA)</w:t>
      </w:r>
      <w:r w:rsidR="00AD5075">
        <w:t>,</w:t>
      </w:r>
      <w:r w:rsidR="00C61F5A">
        <w:t xml:space="preserve"> </w:t>
      </w:r>
      <w:r w:rsidR="00BB4FE7">
        <w:t xml:space="preserve">è in esame </w:t>
      </w:r>
      <w:r w:rsidR="00AD5075">
        <w:t>i</w:t>
      </w:r>
      <w:r w:rsidR="00BB4FE7">
        <w:t xml:space="preserve">l </w:t>
      </w:r>
      <w:r w:rsidR="00672B83" w:rsidRPr="00672B83">
        <w:t xml:space="preserve">testo unificato adottato dalla </w:t>
      </w:r>
      <w:proofErr w:type="gramStart"/>
      <w:r w:rsidR="00672B83" w:rsidRPr="00672B83">
        <w:t>8ª</w:t>
      </w:r>
      <w:proofErr w:type="gramEnd"/>
      <w:r w:rsidR="00672B83" w:rsidRPr="00672B83">
        <w:t xml:space="preserve"> Commissione permanente del Senato contenente </w:t>
      </w:r>
      <w:r w:rsidR="00672B83">
        <w:t>“</w:t>
      </w:r>
      <w:r w:rsidR="00672B83" w:rsidRPr="00672B83">
        <w:rPr>
          <w:i/>
          <w:iCs/>
        </w:rPr>
        <w:t>Modifiche al testo unico dei servizi di media audiovisivi, di cui al decreto legislativo 8 novembre 2021, n. 208</w:t>
      </w:r>
      <w:r w:rsidR="00672B83">
        <w:t>”</w:t>
      </w:r>
      <w:r w:rsidR="003C2A3B">
        <w:t xml:space="preserve"> </w:t>
      </w:r>
      <w:r w:rsidR="00391B35">
        <w:t xml:space="preserve">che </w:t>
      </w:r>
      <w:r w:rsidR="00E2545D">
        <w:t>si pone l’obiettivo di migliorare la trasparenza nei processi di nomina dei vertici nonché la loro indipendenza da interferenze esterne.</w:t>
      </w:r>
      <w:r w:rsidR="009B24A7">
        <w:t xml:space="preserve"> </w:t>
      </w:r>
      <w:r w:rsidR="00E2545D">
        <w:t xml:space="preserve">Il testo </w:t>
      </w:r>
      <w:r w:rsidR="00391B35">
        <w:t>prevede,</w:t>
      </w:r>
      <w:r w:rsidR="008E2771">
        <w:t xml:space="preserve"> con particolare riferimento alla governance</w:t>
      </w:r>
      <w:r w:rsidR="00FF4774">
        <w:t>:</w:t>
      </w:r>
      <w:r w:rsidR="008E2771">
        <w:t xml:space="preserve"> </w:t>
      </w:r>
      <w:r w:rsidR="000847E0">
        <w:t xml:space="preserve">un </w:t>
      </w:r>
      <w:r w:rsidR="00AC20A1">
        <w:t>CDA eletto</w:t>
      </w:r>
      <w:r w:rsidR="00E2545D">
        <w:t xml:space="preserve"> </w:t>
      </w:r>
      <w:r w:rsidR="00AC20A1">
        <w:t>dal Parlamento (3 membri Camera, 3 Senato</w:t>
      </w:r>
      <w:r w:rsidR="00FF4774">
        <w:t>) e uno eletto</w:t>
      </w:r>
      <w:r w:rsidR="00AC20A1">
        <w:t xml:space="preserve"> dai dipendenti</w:t>
      </w:r>
      <w:r w:rsidR="003C2A3B">
        <w:t>,</w:t>
      </w:r>
      <w:r w:rsidR="000847E0">
        <w:t xml:space="preserve"> un m</w:t>
      </w:r>
      <w:r w:rsidR="00AC20A1">
        <w:t>andato quinquennale (non più triennale)</w:t>
      </w:r>
      <w:r w:rsidR="000847E0">
        <w:t>, l’e</w:t>
      </w:r>
      <w:r w:rsidR="00AC20A1">
        <w:t>lezione del Presidente</w:t>
      </w:r>
      <w:r w:rsidR="00E2545D">
        <w:t xml:space="preserve"> da parte del CDA</w:t>
      </w:r>
      <w:r w:rsidR="00AC20A1">
        <w:t xml:space="preserve"> </w:t>
      </w:r>
      <w:r w:rsidR="00FF6BBB">
        <w:t>e</w:t>
      </w:r>
      <w:r w:rsidR="003A7EB2" w:rsidRPr="003A7EB2">
        <w:t>fficace dopo</w:t>
      </w:r>
      <w:r w:rsidR="00FF6BBB">
        <w:t xml:space="preserve"> il </w:t>
      </w:r>
      <w:r w:rsidR="003A7EB2" w:rsidRPr="003A7EB2">
        <w:t>parere favorevole</w:t>
      </w:r>
      <w:r w:rsidR="009C353E">
        <w:t xml:space="preserve"> </w:t>
      </w:r>
      <w:r w:rsidR="009C353E" w:rsidRPr="003A7EB2">
        <w:t xml:space="preserve">della Commissione </w:t>
      </w:r>
      <w:r w:rsidR="009C353E">
        <w:t>di Vigilanza</w:t>
      </w:r>
      <w:r w:rsidR="003A7EB2" w:rsidRPr="003A7EB2">
        <w:t xml:space="preserve">, espresso a maggioranza dei due terzi </w:t>
      </w:r>
      <w:r w:rsidR="003A7EB2">
        <w:t>le prime due votazioni</w:t>
      </w:r>
      <w:r w:rsidR="003A7EB2" w:rsidRPr="003A7EB2">
        <w:t xml:space="preserve">, </w:t>
      </w:r>
      <w:r w:rsidR="003A7EB2">
        <w:t xml:space="preserve">e </w:t>
      </w:r>
      <w:r w:rsidR="009C353E">
        <w:t>successivamente, assoluta.</w:t>
      </w:r>
      <w:r w:rsidR="003A7EB2">
        <w:t xml:space="preserve"> Si prevede anche </w:t>
      </w:r>
      <w:r w:rsidR="000847E0">
        <w:t>un r</w:t>
      </w:r>
      <w:r w:rsidR="00AC20A1">
        <w:t>afforzamento degli obblighi di trasparenza</w:t>
      </w:r>
      <w:r w:rsidR="003C2A3B">
        <w:t xml:space="preserve"> con</w:t>
      </w:r>
      <w:r w:rsidR="00AC20A1">
        <w:t xml:space="preserve"> due relazioni semestrali alla </w:t>
      </w:r>
      <w:r w:rsidR="00B97B3E" w:rsidRPr="00B97B3E">
        <w:t xml:space="preserve">Commissione </w:t>
      </w:r>
      <w:r w:rsidR="003A7EB2">
        <w:t>di Vigilanza</w:t>
      </w:r>
      <w:r w:rsidR="00AC20A1">
        <w:t>.</w:t>
      </w:r>
    </w:p>
    <w:p w14:paraId="17C1075C" w14:textId="6088FDC7" w:rsidR="00256A74" w:rsidRPr="006631EC" w:rsidRDefault="000B2AC9" w:rsidP="00C7216C">
      <w:pPr>
        <w:jc w:val="both"/>
        <w:rPr>
          <w:i/>
          <w:iCs/>
          <w:u w:val="single"/>
        </w:rPr>
      </w:pPr>
      <w:r w:rsidRPr="006631EC">
        <w:rPr>
          <w:i/>
          <w:iCs/>
          <w:u w:val="single"/>
        </w:rPr>
        <w:t xml:space="preserve">Garanzie </w:t>
      </w:r>
      <w:r w:rsidR="00256A74" w:rsidRPr="006631EC">
        <w:rPr>
          <w:i/>
          <w:iCs/>
          <w:u w:val="single"/>
        </w:rPr>
        <w:t>per il pluralismo dell’informazione</w:t>
      </w:r>
      <w:r w:rsidR="00F74A22" w:rsidRPr="006631EC">
        <w:rPr>
          <w:i/>
          <w:iCs/>
          <w:u w:val="single"/>
        </w:rPr>
        <w:t xml:space="preserve"> – Contratto di Servizio </w:t>
      </w:r>
      <w:r w:rsidR="00AF6871" w:rsidRPr="006631EC">
        <w:rPr>
          <w:i/>
          <w:iCs/>
          <w:u w:val="single"/>
        </w:rPr>
        <w:t xml:space="preserve">– Osservatorio di Pavia - </w:t>
      </w:r>
      <w:proofErr w:type="spellStart"/>
      <w:r w:rsidR="00AF6871" w:rsidRPr="006631EC">
        <w:rPr>
          <w:i/>
          <w:iCs/>
          <w:u w:val="single"/>
        </w:rPr>
        <w:t>Qualitel</w:t>
      </w:r>
      <w:proofErr w:type="spellEnd"/>
    </w:p>
    <w:p w14:paraId="33F08C87" w14:textId="2DBA1966" w:rsidR="00C7216C" w:rsidRDefault="00C7216C" w:rsidP="00C7216C">
      <w:pPr>
        <w:jc w:val="both"/>
      </w:pPr>
      <w:r>
        <w:t>La RAI, principale azienda culturale del Paese, opera nel rispetto della Costituzione, garantendo libertà di espressione e pluralismo informativo. In attuazione del Contratto di Servizio 2023–2028, assicura un’offerta imparziale, indipendente e orientata al contrasto della disinformazione, anche attraverso rigorosi principi deontologici che tutelano l’autonomia professionale dei giornalisti. Grazie a una rete nazionale e internazionale unica</w:t>
      </w:r>
      <w:r w:rsidR="003C6E0F">
        <w:t xml:space="preserve"> -</w:t>
      </w:r>
      <w:r>
        <w:t xml:space="preserve"> 11 uffici esteri e 22 corrispondenti </w:t>
      </w:r>
      <w:r w:rsidR="003C6E0F">
        <w:t>-</w:t>
      </w:r>
      <w:r>
        <w:t xml:space="preserve"> la RAI offre una copertura capillare e una lettura critica degli eventi globali, </w:t>
      </w:r>
      <w:r>
        <w:lastRenderedPageBreak/>
        <w:t xml:space="preserve">autonoma rispetto alle dinamiche dei social network. L’ampliamento </w:t>
      </w:r>
      <w:r w:rsidR="003C6E0F">
        <w:t xml:space="preserve">recente </w:t>
      </w:r>
      <w:r>
        <w:t>della presenza all’estero, come l’invio di una corrispondente per l’America Latina, rafforza tale missione.</w:t>
      </w:r>
    </w:p>
    <w:p w14:paraId="2E4BDA54" w14:textId="36DB5229" w:rsidR="00C7216C" w:rsidRDefault="00C7216C" w:rsidP="00C7216C">
      <w:pPr>
        <w:jc w:val="both"/>
      </w:pPr>
      <w:r>
        <w:t>I</w:t>
      </w:r>
      <w:r w:rsidR="005B4DBB">
        <w:t>noltre, il</w:t>
      </w:r>
      <w:r>
        <w:t xml:space="preserve"> percorso di trasformazione verso </w:t>
      </w:r>
      <w:r w:rsidR="005B4DBB">
        <w:t xml:space="preserve">la </w:t>
      </w:r>
      <w:r>
        <w:t>digital media</w:t>
      </w:r>
      <w:r w:rsidR="002D3450" w:rsidRPr="002D3450">
        <w:t xml:space="preserve"> </w:t>
      </w:r>
      <w:r w:rsidR="002D3450">
        <w:t>company</w:t>
      </w:r>
      <w:r>
        <w:t>, declinato sempre nel Contratto di Servizio, mira a rendere il portale informativo R</w:t>
      </w:r>
      <w:r w:rsidR="007B586E">
        <w:t xml:space="preserve">ai </w:t>
      </w:r>
      <w:r>
        <w:t>un punto di riferimento autorevole, preservando il ruolo dell’azienda quale “arena pubblica” di confronto. La digitalizzazione ha</w:t>
      </w:r>
      <w:r w:rsidR="003C6E0F">
        <w:t>,</w:t>
      </w:r>
      <w:r>
        <w:t xml:space="preserve"> inoltre</w:t>
      </w:r>
      <w:r w:rsidR="003C6E0F">
        <w:t>,</w:t>
      </w:r>
      <w:r>
        <w:t xml:space="preserve"> intensificato la verifica di accuratezza delle notizie, inclusi i contenuti online, sostenuta da elevati volumi di contatti e da un costante monitoraggio che certifica qualità, imparzialità e correttezza dell’informazione.</w:t>
      </w:r>
    </w:p>
    <w:p w14:paraId="118C6557" w14:textId="5727246C" w:rsidR="000F7A4B" w:rsidRDefault="000F7A4B" w:rsidP="000F7A4B">
      <w:pPr>
        <w:jc w:val="both"/>
      </w:pPr>
      <w:r>
        <w:t>Si segnala, in</w:t>
      </w:r>
      <w:r w:rsidR="00940149">
        <w:t>oltre, che l</w:t>
      </w:r>
      <w:r>
        <w:t xml:space="preserve">a Rai, in collaborazione continuativa con l’Osservatorio di Pavia dal 1994, effettua un monitoraggio permanente del pluralismo politico e sociale sulle proprie reti, 24 ore su 24, con trasmissione dei dati alla Commissione di Vigilanza. Parallelamente, attraverso il sistema </w:t>
      </w:r>
      <w:proofErr w:type="spellStart"/>
      <w:r>
        <w:t>Qualitel</w:t>
      </w:r>
      <w:proofErr w:type="spellEnd"/>
      <w:r>
        <w:t xml:space="preserve"> TV e Radio, </w:t>
      </w:r>
      <w:r w:rsidR="005B4DBB">
        <w:t xml:space="preserve">Rai </w:t>
      </w:r>
      <w:r>
        <w:t>misura la qualità percepita della propria offerta editoriale tramite un panel stabile di circa 25.000 adulti e 4.500 minori.</w:t>
      </w:r>
      <w:r w:rsidR="000F0137">
        <w:t xml:space="preserve"> </w:t>
      </w:r>
      <w:r>
        <w:t xml:space="preserve">Nel 2024 l’indice di gradimento dei contenuti televisivi Rai ha raggiunto un punteggio medio pari a 8,0 su 10, in </w:t>
      </w:r>
      <w:r w:rsidR="0052549A">
        <w:t xml:space="preserve">costante </w:t>
      </w:r>
      <w:r>
        <w:t>crescita</w:t>
      </w:r>
      <w:r w:rsidR="0052549A">
        <w:t>.</w:t>
      </w:r>
      <w:r w:rsidR="00794479">
        <w:t xml:space="preserve"> R</w:t>
      </w:r>
      <w:r>
        <w:t xml:space="preserve">isultati </w:t>
      </w:r>
      <w:r w:rsidR="00794479">
        <w:t xml:space="preserve">che </w:t>
      </w:r>
      <w:r>
        <w:t>si riflettono anche nei dati del Digital News Report 2025, secondo cui il 59% degli italiani consulta più volte al giorno le notizie, facendo dell’Italia uno dei Paesi più attivi nella fruizione informativa.</w:t>
      </w:r>
      <w:r w:rsidR="000F0137">
        <w:t xml:space="preserve"> </w:t>
      </w:r>
      <w:r w:rsidR="00794479">
        <w:t xml:space="preserve">Sempre nel </w:t>
      </w:r>
      <w:r>
        <w:t>2025 il Tg1 ha confermato la propria leadership, con l’edizione delle 20 che raggiunge 4,186 milioni di spettatori e uno share del 24,4%, in aumento rispetto all’anno precedente.</w:t>
      </w:r>
    </w:p>
    <w:p w14:paraId="42B8B9A2" w14:textId="77777777" w:rsidR="00256A74" w:rsidRPr="006631EC" w:rsidRDefault="00256A74" w:rsidP="00C7775E">
      <w:pPr>
        <w:jc w:val="both"/>
        <w:rPr>
          <w:i/>
          <w:iCs/>
          <w:u w:val="single"/>
        </w:rPr>
      </w:pPr>
      <w:r w:rsidRPr="006631EC">
        <w:rPr>
          <w:i/>
          <w:iCs/>
          <w:u w:val="single"/>
        </w:rPr>
        <w:t>Scenario internazionale</w:t>
      </w:r>
    </w:p>
    <w:p w14:paraId="6DF36AA6" w14:textId="6A8F26DF" w:rsidR="00B67608" w:rsidRDefault="00C7775E" w:rsidP="00235839">
      <w:pPr>
        <w:jc w:val="both"/>
      </w:pPr>
      <w:r>
        <w:t xml:space="preserve">Il mercato dei media è divenuto un ecosistema globale, dinamico e altamente competitivo, in cui la convergenza tecnologica ha reso irrilevanti i confini nazionali e ha ampliato il confronto tra operatori tradizionali e grandi piattaforme OTT e big tech (GAFA, Netflix, Spotify, YouTube, produttori di </w:t>
      </w:r>
      <w:proofErr w:type="gramStart"/>
      <w:r>
        <w:t>device</w:t>
      </w:r>
      <w:proofErr w:type="gramEnd"/>
      <w:r>
        <w:t>). Questi soggetti, dotati di risorse economiche e industriali nettamente superiori</w:t>
      </w:r>
      <w:r w:rsidR="009807A0">
        <w:t xml:space="preserve"> agli operatori tradizionali</w:t>
      </w:r>
      <w:r>
        <w:t>, competono trasversalmente su tutti i segmenti del sistema, generando una concorrenza intensa e spingendo verso la necessità di continui aggiornamenti normativi, anche in relazione alle nuove tecnologie come l’intelligenza artificiale generativa.</w:t>
      </w:r>
      <w:r w:rsidR="00984CFA">
        <w:t xml:space="preserve"> </w:t>
      </w:r>
      <w:r>
        <w:t xml:space="preserve">In questo contesto, le piattaforme globali adottano strategie di </w:t>
      </w:r>
      <w:proofErr w:type="spellStart"/>
      <w:r w:rsidRPr="00984CFA">
        <w:rPr>
          <w:i/>
          <w:iCs/>
        </w:rPr>
        <w:t>broadcastification</w:t>
      </w:r>
      <w:proofErr w:type="spellEnd"/>
      <w:r>
        <w:t>, ampliando l’offerta con contenuti tipici dei media tradizionali e integrando ai ricavi da abbonamento una crescente componente pubblicitaria. Parallelamente, gli operatori tradizionali</w:t>
      </w:r>
      <w:r w:rsidR="00923661">
        <w:t>,</w:t>
      </w:r>
      <w:r>
        <w:t xml:space="preserve"> inclusi i </w:t>
      </w:r>
      <w:r w:rsidR="009807A0">
        <w:t>S</w:t>
      </w:r>
      <w:r>
        <w:t xml:space="preserve">ervizi </w:t>
      </w:r>
      <w:r w:rsidR="009807A0">
        <w:t>P</w:t>
      </w:r>
      <w:r>
        <w:t>ubblici</w:t>
      </w:r>
      <w:r w:rsidR="00923661">
        <w:t>,</w:t>
      </w:r>
      <w:r>
        <w:t xml:space="preserve"> collaborano sempre più con le piattaforme di streaming e di condivisione (ad esempio YouTube) per ampliare la propria </w:t>
      </w:r>
      <w:r w:rsidRPr="00971DE1">
        <w:rPr>
          <w:i/>
          <w:iCs/>
        </w:rPr>
        <w:t>reach</w:t>
      </w:r>
      <w:r>
        <w:t xml:space="preserve"> </w:t>
      </w:r>
      <w:r w:rsidR="00B463D3" w:rsidRPr="00B463D3">
        <w:t xml:space="preserve">complessiva (quota di pubblico raggiunto) e </w:t>
      </w:r>
      <w:r w:rsidR="00B463D3" w:rsidRPr="00B463D3">
        <w:rPr>
          <w:i/>
          <w:iCs/>
        </w:rPr>
        <w:t xml:space="preserve">l’engagement </w:t>
      </w:r>
      <w:r w:rsidR="00B463D3" w:rsidRPr="00B463D3">
        <w:t>(interesse, attenzione e coinvolgimento) dei pubblici</w:t>
      </w:r>
      <w:r w:rsidR="00B463D3">
        <w:t>,</w:t>
      </w:r>
      <w:r>
        <w:t xml:space="preserve"> secondo modelli già sperimentati nel Regno Unito e in Francia</w:t>
      </w:r>
      <w:r w:rsidR="00972B63">
        <w:t xml:space="preserve">. </w:t>
      </w:r>
      <w:r w:rsidR="00235839">
        <w:t xml:space="preserve">Nel 2025 le media company tradizionali hanno intensificato le operazioni di razionalizzazione e consolidamento, ricorrendo a fusioni e acquisizioni per rafforzarsi in un mercato in rapida trasformazione. Tra le principali operazioni figurano l’acquisizione di Sky Deutschland da parte di RTL Group e l’espansione di MediaForEurope, che dopo Italia, Spagna e Germania ha esteso la propria presenza anche in Portogallo. Parallelamente, il settore è in forte fermento per l’avvio di trattative su scala globale: </w:t>
      </w:r>
      <w:r w:rsidR="00235839">
        <w:lastRenderedPageBreak/>
        <w:t xml:space="preserve">Netflix ha annunciato l’intenzione di acquisire parte degli asset Warner Bros. Discovery, mentre Paramount ha ricevuto una controproposta da </w:t>
      </w:r>
      <w:proofErr w:type="spellStart"/>
      <w:r w:rsidR="00235839">
        <w:t>Skydance</w:t>
      </w:r>
      <w:proofErr w:type="spellEnd"/>
      <w:r w:rsidR="00235839">
        <w:t>. Anche Comcast, controllante di Sky, è entrata nella contesa manifestando interesse per Discovery Global e per i relativi network e piattaforme. L’esito di queste operazioni ancora in corso avrà impatti rilevanti sugli equilibri del mercato globale, influenzando produzione, distribuzione e nuove opportunità di business, e contribuendo a ridefinire i rapporti di forza tra i principali player.</w:t>
      </w:r>
    </w:p>
    <w:p w14:paraId="4EF940AA" w14:textId="4B32910D" w:rsidR="00B67608" w:rsidRPr="006631EC" w:rsidRDefault="00B67608" w:rsidP="00235839">
      <w:pPr>
        <w:jc w:val="both"/>
        <w:rPr>
          <w:i/>
          <w:iCs/>
          <w:u w:val="single"/>
        </w:rPr>
      </w:pPr>
      <w:r w:rsidRPr="006631EC">
        <w:rPr>
          <w:i/>
          <w:iCs/>
          <w:u w:val="single"/>
        </w:rPr>
        <w:t xml:space="preserve">Situazione italiana </w:t>
      </w:r>
    </w:p>
    <w:p w14:paraId="5E80FFCF" w14:textId="032AC17A" w:rsidR="0054583A" w:rsidRDefault="005956F3" w:rsidP="006E48DE">
      <w:pPr>
        <w:jc w:val="both"/>
      </w:pPr>
      <w:r>
        <w:t>Seppure in Italia oggi non si rilev</w:t>
      </w:r>
      <w:r w:rsidR="003A7EB2">
        <w:t>i</w:t>
      </w:r>
      <w:r>
        <w:t>no problemi di trasparenza nelle proprietà dei media</w:t>
      </w:r>
      <w:r w:rsidR="003A7EB2">
        <w:t xml:space="preserve"> e </w:t>
      </w:r>
      <w:r>
        <w:t>il mercato appa</w:t>
      </w:r>
      <w:r w:rsidR="003A7EB2">
        <w:t>ia</w:t>
      </w:r>
      <w:r>
        <w:t xml:space="preserve"> sostanzialmente equilibrato e non concentrato, come evidenziato anche dall’informativa sul SIC 2023 redatta da A</w:t>
      </w:r>
      <w:r w:rsidR="00643C32">
        <w:t>gcom</w:t>
      </w:r>
      <w:r>
        <w:t xml:space="preserve"> il 19 dicembre u.s. (</w:t>
      </w:r>
      <w:hyperlink r:id="rId7" w:history="1">
        <w:r w:rsidR="003A7EB2" w:rsidRPr="00FD2FDB">
          <w:rPr>
            <w:rStyle w:val="Collegamentoipertestuale"/>
          </w:rPr>
          <w:t>https://www.agcom.it/comunicazione/comunicati-stampa/comunicato-stampa-68</w:t>
        </w:r>
      </w:hyperlink>
      <w:r>
        <w:t xml:space="preserve">), a  livello globale non può sfuggire quanto evidenziato dalla Fondazione Censis, ovvero che </w:t>
      </w:r>
      <w:r w:rsidRPr="003A7EB2">
        <w:rPr>
          <w:i/>
          <w:iCs/>
        </w:rPr>
        <w:t>“le sei compagnie che valgono di più al mondo</w:t>
      </w:r>
      <w:r w:rsidR="003A7EB2">
        <w:rPr>
          <w:i/>
          <w:iCs/>
        </w:rPr>
        <w:t>,</w:t>
      </w:r>
      <w:r w:rsidRPr="003A7EB2">
        <w:rPr>
          <w:i/>
          <w:iCs/>
        </w:rPr>
        <w:t xml:space="preserve"> tutte statunitensi, tutte implicate primariamente nello sviluppo digitale, tutte private e profondamente intrecciate con il pubblico, hanno un valore complessivo di 18.000 miliardi di dollari […].</w:t>
      </w:r>
      <w:r>
        <w:t xml:space="preserve"> Si tratta di un valore che si avvicina ad eguagliare il PIL dell’intera Unione europea o pari al 64% del PIL degli Stati Uniti” (Censis 2025 – 59° Rapporto sulla situazione sociale del Paese, Franco Angeli 2025, p. 365). Vale la pena ricordare che le società cui fa riferimento il Censis sono tutte attive – direttamente o indirettamente – nel mercato globale dei media.</w:t>
      </w:r>
      <w:r w:rsidR="005747F1">
        <w:t xml:space="preserve"> </w:t>
      </w:r>
      <w:r w:rsidR="009A7AA6" w:rsidRPr="009A7AA6">
        <w:t xml:space="preserve">Pertanto, appare vivido il rischio di concentrazioni, </w:t>
      </w:r>
      <w:r w:rsidR="008F5FEF">
        <w:t>come già evidenziato a proposito delle su citate operazione di M</w:t>
      </w:r>
      <w:r w:rsidR="00714F1F">
        <w:t>&amp;A.</w:t>
      </w:r>
    </w:p>
    <w:p w14:paraId="73D54FFE" w14:textId="41553DD2" w:rsidR="00AF6871" w:rsidRPr="006631EC" w:rsidRDefault="00AF6871" w:rsidP="006E48DE">
      <w:pPr>
        <w:jc w:val="both"/>
        <w:rPr>
          <w:i/>
          <w:iCs/>
          <w:u w:val="single"/>
        </w:rPr>
      </w:pPr>
      <w:r w:rsidRPr="006631EC">
        <w:rPr>
          <w:i/>
          <w:iCs/>
          <w:u w:val="single"/>
        </w:rPr>
        <w:t>Finanziamento pubblico</w:t>
      </w:r>
      <w:r w:rsidR="00F83990" w:rsidRPr="006631EC">
        <w:rPr>
          <w:i/>
          <w:iCs/>
          <w:u w:val="single"/>
        </w:rPr>
        <w:t xml:space="preserve"> attuale</w:t>
      </w:r>
      <w:r w:rsidR="00984CFA" w:rsidRPr="006631EC">
        <w:rPr>
          <w:i/>
          <w:iCs/>
          <w:u w:val="single"/>
        </w:rPr>
        <w:t xml:space="preserve"> della Concessionaria </w:t>
      </w:r>
      <w:r w:rsidR="00F83990" w:rsidRPr="006631EC">
        <w:rPr>
          <w:i/>
          <w:iCs/>
          <w:u w:val="single"/>
        </w:rPr>
        <w:t>ed EMFA</w:t>
      </w:r>
    </w:p>
    <w:p w14:paraId="59008DC0" w14:textId="39A115FD" w:rsidR="006E48DE" w:rsidRDefault="006E48DE" w:rsidP="006E48DE">
      <w:pPr>
        <w:jc w:val="both"/>
      </w:pPr>
      <w:r>
        <w:t>Nella Relazione sullo Stato di Diritto 2025, in materia di finanziamento del Servizio Pubblico, la Commissione Europea:</w:t>
      </w:r>
    </w:p>
    <w:p w14:paraId="25A89068" w14:textId="50DDD383" w:rsidR="006E48DE" w:rsidRDefault="006E48DE" w:rsidP="006E48DE">
      <w:pPr>
        <w:jc w:val="both"/>
      </w:pPr>
      <w:r>
        <w:t>-</w:t>
      </w:r>
      <w:r>
        <w:tab/>
        <w:t>registra progressi per quanto riguarda la raccomandazione relativa al finanziamento dei media del servizio pubblico, in riferimento alla mancata conferma della norma sulla riduzione del canone unitario per uso privato a 70 euro, con contributo statale compensativo al fine di garantire una sostanziale neutralità di impatto per Rai. Riporta tuttavia come i portatori di interessi abbiano sottolineato “la necessità di una riforma globale e strutturale del sistema di finanziamento che dovrebbe dotare la Rai di risorse finanziarie stabili e prevedibili su base pluriennale” (pag.17);</w:t>
      </w:r>
    </w:p>
    <w:p w14:paraId="4EB8A459" w14:textId="77777777" w:rsidR="006E48DE" w:rsidRDefault="006E48DE" w:rsidP="006E48DE">
      <w:pPr>
        <w:jc w:val="both"/>
      </w:pPr>
      <w:r>
        <w:t>-</w:t>
      </w:r>
      <w:r>
        <w:tab/>
        <w:t>dà pertanto conto del fatto che, rispetto alle Raccomandazioni 2024, l’Italia ha realizzato “alcuni progressi nel provvedere affinché siano in vigore disposizioni o meccanismi che assicurino un finanziamento dei media del servizio pubblico adeguato all’adempimento della loro missione di servizio pubblico e per garantirne l’indipendenza”. Tuttavia, raccomanda ancora all’Italia di “portare avanti l’attività legislativa in corso affinché entrino in vigore le suddette disposizioni o meccanismi” (pag.3).</w:t>
      </w:r>
    </w:p>
    <w:p w14:paraId="100D7C05" w14:textId="3519169F" w:rsidR="006E48DE" w:rsidRDefault="006E48DE" w:rsidP="006E48DE">
      <w:pPr>
        <w:jc w:val="both"/>
      </w:pPr>
      <w:r>
        <w:t xml:space="preserve">Proprio con riguardo a tale raccomandazione, per quanto di competenza, si evidenzia che il canone, come reiteratamente sostenuto anche da EBU, rappresenta in linea di principio la </w:t>
      </w:r>
      <w:r>
        <w:lastRenderedPageBreak/>
        <w:t xml:space="preserve">forma di finanziamento maggiormente idonea a garantire prevedibilità di risorse ed indipendenza editoriale, oltreché funzionale del </w:t>
      </w:r>
      <w:r w:rsidR="009109FD">
        <w:t>Servizio Pubblico</w:t>
      </w:r>
      <w:r>
        <w:t>, in ottemperanza a quanto previsto dall’art.5 dell’EMFA.</w:t>
      </w:r>
    </w:p>
    <w:p w14:paraId="69A684CA" w14:textId="7E3A433A" w:rsidR="006E48DE" w:rsidRDefault="006E48DE" w:rsidP="006E48DE">
      <w:pPr>
        <w:jc w:val="both"/>
      </w:pPr>
      <w:r>
        <w:t>Tuttavia, anche questo meccanismo di finanziamento</w:t>
      </w:r>
      <w:r w:rsidR="00977B9F">
        <w:t xml:space="preserve"> nell’anno 2026 è stato depotenziato a causa dell’ablazione </w:t>
      </w:r>
      <w:r>
        <w:t xml:space="preserve">di 10 milioni </w:t>
      </w:r>
      <w:r w:rsidR="00977B9F">
        <w:t xml:space="preserve">di euro prevista nella legge di bilancio </w:t>
      </w:r>
      <w:r>
        <w:t>per il 2026</w:t>
      </w:r>
      <w:r w:rsidR="0012610F">
        <w:t xml:space="preserve"> (legge 30 dicembre 2025 n. 199 art. 1 co.735)</w:t>
      </w:r>
      <w:r w:rsidR="0092481D">
        <w:t>.</w:t>
      </w:r>
    </w:p>
    <w:p w14:paraId="202B89E9" w14:textId="1C31F9E4" w:rsidR="00837DE5" w:rsidRDefault="00977B9F" w:rsidP="00837DE5">
      <w:pPr>
        <w:jc w:val="both"/>
      </w:pPr>
      <w:proofErr w:type="gramStart"/>
      <w:r>
        <w:t>E’</w:t>
      </w:r>
      <w:proofErr w:type="gramEnd"/>
      <w:r>
        <w:t xml:space="preserve"> ovvio che l</w:t>
      </w:r>
      <w:r w:rsidR="00837DE5">
        <w:t xml:space="preserve">a riduzione o l’imprevedibilità delle risorse finanziarie destinate al </w:t>
      </w:r>
      <w:r w:rsidR="00D64A79">
        <w:t>S</w:t>
      </w:r>
      <w:r w:rsidR="00837DE5">
        <w:t xml:space="preserve">ervizio </w:t>
      </w:r>
      <w:r w:rsidR="00D64A79">
        <w:t>P</w:t>
      </w:r>
      <w:r w:rsidR="00837DE5">
        <w:t>ubblico ostacola la pianificazione pluriennale necessaria per adempiere alla propria missione. La stabilità dei finanziamenti è</w:t>
      </w:r>
      <w:r w:rsidR="003D0985">
        <w:t>,</w:t>
      </w:r>
      <w:r w:rsidR="00837DE5">
        <w:t xml:space="preserve"> infatti</w:t>
      </w:r>
      <w:r w:rsidR="003D0985">
        <w:t>,</w:t>
      </w:r>
      <w:r w:rsidR="00837DE5">
        <w:t xml:space="preserve"> essenziale per sostenere la trasformazione dell’azienda in digital media company e per investire nelle tecnologie chiave</w:t>
      </w:r>
      <w:r w:rsidR="003D0985">
        <w:t>,</w:t>
      </w:r>
      <w:r w:rsidR="00837DE5">
        <w:t xml:space="preserve"> come intelligenza artificiale, cloud, automazione, sicurezza dei dati e gestione avanzata dei metadati</w:t>
      </w:r>
      <w:r w:rsidR="003D0985">
        <w:t>,</w:t>
      </w:r>
      <w:r w:rsidR="00837DE5">
        <w:t xml:space="preserve"> indispensabili a mantenere competitività, qualità del servizio e continuità dell’offerta.</w:t>
      </w:r>
    </w:p>
    <w:p w14:paraId="5145882A" w14:textId="1DD3424E" w:rsidR="00837DE5" w:rsidRDefault="00837DE5" w:rsidP="00837DE5">
      <w:pPr>
        <w:jc w:val="both"/>
      </w:pPr>
      <w:r>
        <w:t xml:space="preserve">Un quadro finanziario instabile aumenta il rischio di obsolescenza, limita la capacità di innovazione e può incidere negativamente sulla qualità e accessibilità del </w:t>
      </w:r>
      <w:r w:rsidR="003D0985">
        <w:t>S</w:t>
      </w:r>
      <w:r>
        <w:t xml:space="preserve">ervizio </w:t>
      </w:r>
      <w:r w:rsidR="003D0985">
        <w:t>P</w:t>
      </w:r>
      <w:r>
        <w:t>ubblico, rendendo più difficile soddisfare le aspettative di modernizzazione e garantire una programmazione coerente con gli obiettivi strategici della Concessionaria.</w:t>
      </w:r>
    </w:p>
    <w:p w14:paraId="364BD815" w14:textId="679DEF75" w:rsidR="008F64CF" w:rsidRDefault="00672B83" w:rsidP="008F64CF">
      <w:pPr>
        <w:jc w:val="both"/>
      </w:pPr>
      <w:r w:rsidRPr="00672B83">
        <w:t>Va inoltre rimarcato che</w:t>
      </w:r>
      <w:r w:rsidR="007D3FDC">
        <w:t xml:space="preserve"> </w:t>
      </w:r>
      <w:r w:rsidR="004E5684">
        <w:t>la nuova</w:t>
      </w:r>
      <w:r w:rsidR="008F64CF">
        <w:t xml:space="preserve"> disciplina in materia di rendicontazione di sostenibilità (CSRD, recepita con </w:t>
      </w:r>
      <w:proofErr w:type="spellStart"/>
      <w:r w:rsidR="008F64CF">
        <w:t>D.Lgs.</w:t>
      </w:r>
      <w:proofErr w:type="spellEnd"/>
      <w:r w:rsidR="008F64CF">
        <w:t xml:space="preserve"> 125/2024) rende la stabilità e la prevedibilità delle risorse finanziarie un requisito essenziale anche per il raggiungimento degli obiettivi ESG previsti dal mandato di </w:t>
      </w:r>
      <w:r w:rsidR="007D3FDC">
        <w:t>S</w:t>
      </w:r>
      <w:r w:rsidR="008F64CF">
        <w:t xml:space="preserve">ervizio </w:t>
      </w:r>
      <w:r w:rsidR="007D3FDC">
        <w:t>P</w:t>
      </w:r>
      <w:r w:rsidR="008F64CF">
        <w:t>ubblico.</w:t>
      </w:r>
    </w:p>
    <w:p w14:paraId="01C30A2F" w14:textId="4D3F77A6" w:rsidR="00672B83" w:rsidRDefault="00672B83" w:rsidP="005956F3">
      <w:pPr>
        <w:jc w:val="both"/>
      </w:pPr>
      <w:r w:rsidRPr="00672B83">
        <w:t xml:space="preserve">Sotto diverso profilo, si ricorda che per il 2026 Rai dovrà ottemperare anche alla previsione di cui all’art. 1, comma 861, della Legge 30 dicembre 2024, n. 207 per la quale “[a]l fine di contribuire alla riduzione degli oneri di esercizio della società RAI-Radiotelevisione italiana Spa, la predetta società, nell'anno 2025, promuove l'adozione di misure di razionalizzazione dei costi per consulenze esterne, mantenendoli, nel complesso, a un livello non superiore a quello conseguito nell'anno 2023, con esclusione dei costi per consulenze relative a operazioni di carattere strategico. Per l'anno 2026, in relazione all'ammontare complessivo dei costi di cui al primo periodo, la </w:t>
      </w:r>
      <w:proofErr w:type="gramStart"/>
      <w:r w:rsidRPr="00672B83">
        <w:t>predetta</w:t>
      </w:r>
      <w:proofErr w:type="gramEnd"/>
      <w:r w:rsidRPr="00672B83">
        <w:t xml:space="preserve"> società è tenuta a realizzare una riduzione pari almeno al 2 per cento rispetto al corrispondente ammontare sostenuto nella media del triennio 2021-2023. Per l'anno 2027, la riduzione di cui al secondo periodo è elevata al 4 per cento. Per le medesime finalità di cui al primo periodo, la </w:t>
      </w:r>
      <w:proofErr w:type="gramStart"/>
      <w:r w:rsidRPr="00672B83">
        <w:t>predetta</w:t>
      </w:r>
      <w:proofErr w:type="gramEnd"/>
      <w:r w:rsidRPr="00672B83">
        <w:t xml:space="preserve"> società, coerentemente con gli obiettivi previsti dal piano industriale 2024-2026, nel corso dell'anno 2025, mette in atto misure di contenimento dei costi esterni tali da realizzare, negli anni 2026 e 2027, una riduzione dell'ammontare complessivo degli stessi, al netto dell'inflazione registrata nei medesimi anni, pari almeno al 2 per cento rispetto all'ammontare dei corrispondenti costi sostenuti nell'anno 2024. I risparmi derivanti dalle misure di cui al presente comma sono finalizzati al conseguimento degli obiettivi di cui all'articolo 3 del contratto nazionale di servizio per il periodo 2023-2028, di cui al comunicato pubblicato nella Gazzetta Ufficiale n. 121 del 25 maggio 2024.”.  </w:t>
      </w:r>
    </w:p>
    <w:p w14:paraId="5033A598" w14:textId="007F107E" w:rsidR="005956F3" w:rsidRDefault="005956F3" w:rsidP="005956F3">
      <w:pPr>
        <w:jc w:val="both"/>
      </w:pPr>
      <w:r>
        <w:lastRenderedPageBreak/>
        <w:t>Ulteriori preoccupazioni derivano poi dalle previsioni contenute nel testo di riforma della Rai in esame al Parlamento per la parte inerente al finanziamento della concessionaria del Servizio Pubblico</w:t>
      </w:r>
      <w:r w:rsidR="00422600">
        <w:t xml:space="preserve">, </w:t>
      </w:r>
      <w:r w:rsidR="00422600" w:rsidRPr="00422600">
        <w:t xml:space="preserve">con particolare riferimento all’articolo 61 dedicato al finanziamento del </w:t>
      </w:r>
      <w:r w:rsidR="00D57F0F">
        <w:t>S</w:t>
      </w:r>
      <w:r w:rsidR="00422600" w:rsidRPr="00422600">
        <w:t xml:space="preserve">ervizio </w:t>
      </w:r>
      <w:r w:rsidR="00D57F0F">
        <w:t>P</w:t>
      </w:r>
      <w:r w:rsidR="00422600" w:rsidRPr="00422600">
        <w:t>ubblico</w:t>
      </w:r>
      <w:r>
        <w:t xml:space="preserve">. </w:t>
      </w:r>
    </w:p>
    <w:p w14:paraId="04868C17" w14:textId="55C96606" w:rsidR="00422600" w:rsidRDefault="00422600" w:rsidP="00422600">
      <w:pPr>
        <w:jc w:val="both"/>
      </w:pPr>
      <w:r>
        <w:t xml:space="preserve">Se da un lato tale intervento normativo si ripropone proprio di dare attuazione al menzionato art.5 dell’EMFA, in particolare nella parte in cui prevede che i </w:t>
      </w:r>
      <w:r w:rsidR="007D3FDC">
        <w:t xml:space="preserve">Servizi Pubblici </w:t>
      </w:r>
      <w:r>
        <w:t xml:space="preserve">debbano disporre di risorse finanziarie adeguate, sostenibili e prevedibili, la sua formulazione pare condurre paradossalmente ad effetti opposti. </w:t>
      </w:r>
    </w:p>
    <w:p w14:paraId="2B8E054E" w14:textId="60FB7F64" w:rsidR="00422600" w:rsidRPr="006E48DE" w:rsidRDefault="00422600" w:rsidP="00422600">
      <w:pPr>
        <w:jc w:val="both"/>
        <w:rPr>
          <w:i/>
          <w:iCs/>
        </w:rPr>
      </w:pPr>
      <w:r>
        <w:t xml:space="preserve">Più nel dettaglio, il suddetto testo prevede che </w:t>
      </w:r>
      <w:r w:rsidRPr="006E48DE">
        <w:rPr>
          <w:i/>
          <w:iCs/>
        </w:rPr>
        <w:t>«per garantire l'’adeguatezza, la sostenibilità e la prevedibilità delle risorse finanziarie necessarie a garantire la fornitura del servizio, l’ammontare del canone di abbonamento di cui al primo periodo non può subire una variazione negativa se non in presenza di condizioni eccezionali debitamente motivate, che comportino la riduzione delle esigenze di finanziamento. Ogni variazione in riduzione deve essere accompagnata da una relazione tecnica trasparente e verificabile, redatta secondo criteri oggettivi e coerenti con gli obblighi europei in materia di pluralismo, indipendenza editoriale e stabilità economica delle emittenti pubbliche. In ogni caso, qualunque variazione in negativo dell’ammontare del canone non può superare il 5</w:t>
      </w:r>
      <w:r w:rsidR="007D3FDC">
        <w:rPr>
          <w:i/>
          <w:iCs/>
        </w:rPr>
        <w:t>%</w:t>
      </w:r>
      <w:r w:rsidRPr="006E48DE">
        <w:rPr>
          <w:i/>
          <w:iCs/>
        </w:rPr>
        <w:t xml:space="preserve"> rispetto all'importo dell’anno precedente».</w:t>
      </w:r>
    </w:p>
    <w:p w14:paraId="5AD86B1E" w14:textId="43019892" w:rsidR="00422600" w:rsidRDefault="00422600" w:rsidP="00422600">
      <w:pPr>
        <w:jc w:val="both"/>
      </w:pPr>
      <w:r>
        <w:t xml:space="preserve">In sintesi, invece di prevedere meccanismi effettivi di adeguamento del canone rispetto all’inflazione o al costante incremento degli obblighi di servizio pubblico </w:t>
      </w:r>
      <w:r w:rsidR="00977B9F">
        <w:t>co</w:t>
      </w:r>
      <w:r w:rsidR="00B7340C">
        <w:t>me</w:t>
      </w:r>
      <w:r w:rsidR="00977B9F">
        <w:t>, peraltro, già previst</w:t>
      </w:r>
      <w:r w:rsidR="00B7340C">
        <w:t>o</w:t>
      </w:r>
      <w:r w:rsidR="0092481D">
        <w:t xml:space="preserve"> </w:t>
      </w:r>
      <w:r w:rsidR="00B7340C">
        <w:t>da</w:t>
      </w:r>
      <w:r w:rsidR="00977B9F">
        <w:t xml:space="preserve">lla normativa nazionale </w:t>
      </w:r>
      <w:r>
        <w:t xml:space="preserve">si crea </w:t>
      </w:r>
      <w:r w:rsidR="0092481D">
        <w:t>–</w:t>
      </w:r>
      <w:r>
        <w:t xml:space="preserve"> </w:t>
      </w:r>
      <w:r w:rsidR="0092481D">
        <w:t>pur dichiarand</w:t>
      </w:r>
      <w:r w:rsidR="00817018">
        <w:t>o</w:t>
      </w:r>
      <w:r w:rsidR="0092481D">
        <w:t xml:space="preserve"> di voler salvaguardar</w:t>
      </w:r>
      <w:r w:rsidR="00817018">
        <w:t>e</w:t>
      </w:r>
      <w:r w:rsidR="00104C1B">
        <w:t xml:space="preserve"> i</w:t>
      </w:r>
      <w:r>
        <w:t xml:space="preserve"> vincoli europei in materia di stabilità economica delle emittenti pubbliche - un meccanismo per la riduzione dello stesso, per di più dipendente da non meglio precisate “condizioni eccezionali” esterne al </w:t>
      </w:r>
      <w:r w:rsidR="00977B9F">
        <w:t xml:space="preserve">Servizio Pubblico </w:t>
      </w:r>
      <w:r>
        <w:t>e preconizzando una progressiva erosione del canone, senza aver previsto nello stesso provvedimento alcun meccanismo compensativo che ne sterilizzi gli effetti altrimenti esiziali per Rai.</w:t>
      </w:r>
    </w:p>
    <w:p w14:paraId="77006D56" w14:textId="4ACDCE38" w:rsidR="00422600" w:rsidRDefault="00422600" w:rsidP="00422600">
      <w:pPr>
        <w:jc w:val="both"/>
      </w:pPr>
      <w:r>
        <w:t xml:space="preserve">Al fine di garantire il rispetto dei principi del richiamato art.5, sarebbe innanzitutto essenziale dare effettiva attuazione a quanto già previsto dal vigente art.61, comma 3, del Testo unico dei servizi di media audiovisivi secondo cui </w:t>
      </w:r>
      <w:r w:rsidRPr="00CA68D6">
        <w:rPr>
          <w:i/>
          <w:iCs/>
        </w:rPr>
        <w:t>“l’ammontare del canone in vigore dal 1° gennaio dell’anno successivo, [deve essere stabilito] in misura tale da consentire alla società concessionaria della fornitura del servizio di coprire i costi che prevedibilmente verranno sostenuti in tale anno per adempiere gli specifici obblighi di servizio pubblico affidati a tale società, come desumibili dall’ultimo bilancio trasmesso, prendendo anche in considerazione il tasso di inflazione programmato e le esigenze di sviluppo tecnologico delle imprese</w:t>
      </w:r>
      <w:r>
        <w:t xml:space="preserve">”. </w:t>
      </w:r>
    </w:p>
    <w:p w14:paraId="5C4B4713" w14:textId="546D0652" w:rsidR="00422600" w:rsidRDefault="00422600" w:rsidP="00422600">
      <w:pPr>
        <w:jc w:val="both"/>
      </w:pPr>
      <w:r>
        <w:t>Sarebbe, invero, ancora più in linea con l’EMFA disporre l’indicizzazione automatica dell’importo del canone unitario sulla base del tasso di inflazione programmato con recupero della differenza nell’esercizio successivo qualora il tasso consuntivo fosse notevolmente superiore e, in aggiunta, precisare più puntualmente i criteri che il Ministero dovrà utilizzare per valutare l’incidenza delle suddette esigenze di sviluppo tecnologico sull’incremento del canone unitario.</w:t>
      </w:r>
    </w:p>
    <w:p w14:paraId="4BE7E47E" w14:textId="5D6CC033" w:rsidR="00422600" w:rsidRDefault="00422600" w:rsidP="00422600">
      <w:pPr>
        <w:jc w:val="both"/>
      </w:pPr>
      <w:r>
        <w:lastRenderedPageBreak/>
        <w:t>Sarebbero inoltre auspicabili modifi</w:t>
      </w:r>
      <w:r w:rsidR="00A92211">
        <w:t>che</w:t>
      </w:r>
      <w:r>
        <w:t xml:space="preserve"> della normativa relativamente ai seguenti punti:</w:t>
      </w:r>
    </w:p>
    <w:p w14:paraId="49493F28" w14:textId="08FB8E1F" w:rsidR="00B7340C" w:rsidRDefault="00B7340C" w:rsidP="00104C1B">
      <w:pPr>
        <w:pStyle w:val="Paragrafoelenco"/>
        <w:numPr>
          <w:ilvl w:val="0"/>
          <w:numId w:val="1"/>
        </w:numPr>
        <w:jc w:val="both"/>
      </w:pPr>
      <w:r>
        <w:t xml:space="preserve">destinazione integrale </w:t>
      </w:r>
      <w:r w:rsidR="00E530DD">
        <w:t>alla Concessionaria</w:t>
      </w:r>
      <w:r w:rsidR="000401CD">
        <w:t xml:space="preserve"> -</w:t>
      </w:r>
      <w:r>
        <w:t xml:space="preserve"> tenendo conto </w:t>
      </w:r>
      <w:r w:rsidR="00E530DD">
        <w:t xml:space="preserve">della natura giuridica del canone, ossia </w:t>
      </w:r>
      <w:r>
        <w:t>un tributo destinato al finanziamento del servizio pubblico</w:t>
      </w:r>
      <w:r w:rsidR="00E530DD">
        <w:t xml:space="preserve"> televisivo, radiofonico e multimediale ex art. 61 del Testo unico dei servizi di media audiovisivi</w:t>
      </w:r>
      <w:r w:rsidR="00104C1B">
        <w:t xml:space="preserve"> -</w:t>
      </w:r>
      <w:r w:rsidR="00E530DD">
        <w:t xml:space="preserve"> dell’ammontare totale dei versamenti effettuati dagli utenti, esclusivamente al netto dell’IVA e della Tassa di concessione governativa</w:t>
      </w:r>
      <w:r w:rsidR="003D602E">
        <w:t xml:space="preserve">, escludendo quindi qualsiasi previsione di </w:t>
      </w:r>
      <w:r w:rsidR="003D602E" w:rsidRPr="00104C1B">
        <w:rPr>
          <w:i/>
          <w:iCs/>
        </w:rPr>
        <w:t xml:space="preserve">top </w:t>
      </w:r>
      <w:proofErr w:type="spellStart"/>
      <w:r w:rsidR="003D602E" w:rsidRPr="00104C1B">
        <w:rPr>
          <w:i/>
          <w:iCs/>
        </w:rPr>
        <w:t>slicing</w:t>
      </w:r>
      <w:proofErr w:type="spellEnd"/>
      <w:r w:rsidR="003D602E">
        <w:t xml:space="preserve">, come attualmente quella </w:t>
      </w:r>
      <w:r w:rsidR="009C5700">
        <w:t>che destina 110 milioni di euro</w:t>
      </w:r>
      <w:r w:rsidR="003D602E">
        <w:t xml:space="preserve"> al </w:t>
      </w:r>
      <w:r w:rsidR="009C5700" w:rsidRPr="009C5700">
        <w:t>Fondo unico per il pluralismo e l’innovazione digitale dell’informazione e dell’editoria</w:t>
      </w:r>
      <w:r w:rsidR="003D602E">
        <w:t>;</w:t>
      </w:r>
    </w:p>
    <w:p w14:paraId="1A358726" w14:textId="7A1E2789" w:rsidR="00422600" w:rsidRDefault="00422600" w:rsidP="00104C1B">
      <w:pPr>
        <w:pStyle w:val="Paragrafoelenco"/>
        <w:numPr>
          <w:ilvl w:val="0"/>
          <w:numId w:val="1"/>
        </w:numPr>
        <w:jc w:val="both"/>
      </w:pPr>
      <w:r>
        <w:t>rimodulazione del presupposto dell’obbligo di pagare il canone in modo da affrancarlo dall’evoluzione tecnologica (ad esempio riferendosi alla fruibilità di contenuti televisivi, radiofonici e multimediali invece che alla loro ricevibilità), che dovrebbe essere opportunamente affiancata da una revisione della disciplina sul canone speciale;</w:t>
      </w:r>
    </w:p>
    <w:p w14:paraId="35F6BB5E" w14:textId="3AE4E47B" w:rsidR="00977B9F" w:rsidRDefault="00422600" w:rsidP="00104C1B">
      <w:pPr>
        <w:pStyle w:val="Paragrafoelenco"/>
        <w:numPr>
          <w:ilvl w:val="0"/>
          <w:numId w:val="1"/>
        </w:numPr>
        <w:jc w:val="both"/>
      </w:pPr>
      <w:r>
        <w:t>rafforzamento degli strumenti di riscossione coattiva.</w:t>
      </w:r>
    </w:p>
    <w:p w14:paraId="31BC6132" w14:textId="1B0933EF" w:rsidR="00647899" w:rsidRDefault="00422600" w:rsidP="00422600">
      <w:pPr>
        <w:jc w:val="both"/>
      </w:pPr>
      <w:r>
        <w:t>Per quanto, evidentemente, poco popolare, sarebbe infine appropriato un adeguamento del canone unitario quantomeno al livello valido per l’anno 2016 (100 euro), tenuto conto che Rai ha finora assorbito i costi generati dall’inflazione registrata dal 2017 (per recuperare l’inflazione maturata nel periodo, tenendo conto anche di quella programmata per il 2026, il canone unitario dovrebbe in realtà aumentare a 111 euro) e considerati i maggiori obblighi di servizio pubblico previsti dal vigente Contratto di servizio quinquennale entrato in vigore in data 26 maggio 2024.</w:t>
      </w:r>
    </w:p>
    <w:p w14:paraId="718B2CA2" w14:textId="71ECB217" w:rsidR="00647899" w:rsidRDefault="00647899" w:rsidP="00422600">
      <w:pPr>
        <w:jc w:val="both"/>
      </w:pPr>
      <w:r>
        <w:t xml:space="preserve">Oltre che dall’incertezza sui finanziamenti, </w:t>
      </w:r>
      <w:r w:rsidR="00122F45">
        <w:t>l</w:t>
      </w:r>
      <w:r w:rsidR="00122F45" w:rsidRPr="00122F45">
        <w:t>a crescente diffusione dell’</w:t>
      </w:r>
      <w:r w:rsidR="00A92211">
        <w:t>IA</w:t>
      </w:r>
      <w:r w:rsidR="00122F45" w:rsidRPr="00122F45">
        <w:t xml:space="preserve"> generativa rappresenta un nuovo e rilevante fattore di rischio per il pluralismo: queste tecnologie, sempre più presenti nei processi di intermediazione tra media e pubblico, incidono sulla sostenibilità economica degli operatori tradizionali e tendono ad amplificare alcune narrazioni a scapito di altre. Tale dinamica può rafforzare stereotipi, penalizzare i player più piccoli e locali e, più in generale, alterare l’equilibrio informativo, entrando in contraddizione con la missione del Servizio Pubblico orientata a garantire pluralismo, inclusività e rappresentazione equilibrata delle diverse istanze sociali.</w:t>
      </w:r>
    </w:p>
    <w:p w14:paraId="2FD49375" w14:textId="77777777" w:rsidR="00977B9F" w:rsidRDefault="00977B9F" w:rsidP="0036551D">
      <w:pPr>
        <w:jc w:val="both"/>
        <w:rPr>
          <w:b/>
          <w:bCs/>
        </w:rPr>
      </w:pPr>
    </w:p>
    <w:p w14:paraId="11494D67" w14:textId="04BF094D" w:rsidR="00F83990" w:rsidRPr="00110477" w:rsidRDefault="002D5B18" w:rsidP="0036551D">
      <w:pPr>
        <w:jc w:val="both"/>
        <w:rPr>
          <w:i/>
          <w:iCs/>
        </w:rPr>
      </w:pPr>
      <w:r w:rsidRPr="00F15D70">
        <w:rPr>
          <w:b/>
          <w:bCs/>
        </w:rPr>
        <w:t>Protezione dei giornalisti, trasparenza e accesso ai documenti</w:t>
      </w:r>
      <w:r w:rsidR="00F15D70">
        <w:t xml:space="preserve"> </w:t>
      </w:r>
    </w:p>
    <w:p w14:paraId="29764181" w14:textId="3AAE1AB8" w:rsidR="00F83990" w:rsidRPr="00C473EB" w:rsidRDefault="009B0835" w:rsidP="0036551D">
      <w:pPr>
        <w:jc w:val="both"/>
        <w:rPr>
          <w:i/>
          <w:iCs/>
          <w:u w:val="single"/>
        </w:rPr>
      </w:pPr>
      <w:r w:rsidRPr="00C473EB">
        <w:rPr>
          <w:i/>
          <w:iCs/>
          <w:u w:val="single"/>
        </w:rPr>
        <w:t>Norme e misure che garantiscono l’indipendenza e la sicurezza dei giornalisti</w:t>
      </w:r>
      <w:r w:rsidR="00C473EB" w:rsidRPr="00C473EB">
        <w:rPr>
          <w:i/>
          <w:iCs/>
          <w:u w:val="single"/>
        </w:rPr>
        <w:t xml:space="preserve"> -</w:t>
      </w:r>
      <w:r w:rsidRPr="00C473EB">
        <w:rPr>
          <w:i/>
          <w:iCs/>
          <w:u w:val="single"/>
        </w:rPr>
        <w:t xml:space="preserve"> protezione delle fonti e delle comunicazioni giornalistiche</w:t>
      </w:r>
      <w:r w:rsidR="00C473EB" w:rsidRPr="00C473EB">
        <w:rPr>
          <w:i/>
          <w:iCs/>
          <w:u w:val="single"/>
        </w:rPr>
        <w:t xml:space="preserve">. </w:t>
      </w:r>
      <w:r w:rsidR="00F83990" w:rsidRPr="00C473EB">
        <w:rPr>
          <w:i/>
          <w:iCs/>
          <w:u w:val="single"/>
        </w:rPr>
        <w:t xml:space="preserve">Contesto nazionale </w:t>
      </w:r>
    </w:p>
    <w:p w14:paraId="3A29F92E" w14:textId="4869B9AC" w:rsidR="009E347D" w:rsidRDefault="00CD4A60" w:rsidP="009E347D">
      <w:pPr>
        <w:jc w:val="both"/>
      </w:pPr>
      <w:r>
        <w:t xml:space="preserve">Sulla base del vigente quadro normativo, la professione giornalistica non è sguarnita di tutela e, anzi, essa gode di una “protezione” costituzionale in forza dell’articolo 21 della Costituzione che prevede che la stampa non possa essere sottoposta </w:t>
      </w:r>
      <w:proofErr w:type="gramStart"/>
      <w:r>
        <w:t>a</w:t>
      </w:r>
      <w:proofErr w:type="gramEnd"/>
      <w:r>
        <w:t xml:space="preserve"> “autorizzazione” e “censura”. In attuazione a tale principio fondamentale, l’attività giornalistica è regolamentata da una Legge speciale (Legge 03.02.1963, n. 69), che sancisce un vero e proprio dovere di segretezza delle </w:t>
      </w:r>
      <w:r>
        <w:lastRenderedPageBreak/>
        <w:t>fonti giornalistiche, gode di un ordinamento professionale autonomo ed è soggetta al potere disciplinare di un organo di autogoverno.</w:t>
      </w:r>
      <w:r w:rsidR="009E347D" w:rsidRPr="009E347D">
        <w:t xml:space="preserve"> </w:t>
      </w:r>
    </w:p>
    <w:p w14:paraId="32F071BE" w14:textId="040DBF3A" w:rsidR="009E347D" w:rsidRDefault="009E347D" w:rsidP="009E347D">
      <w:pPr>
        <w:jc w:val="both"/>
      </w:pPr>
      <w:r>
        <w:t>In un caso, la Corte di ultima istanza in materia amministrativa (il Consiglio di Stato) è pervenuta recentemente a conclusioni discutibili equiparando solo per i giornalisti del servizio pubblico le fonti a meri documenti amministrativi e dunque assoggettabili all’accesso da parte di soggetti terzi (</w:t>
      </w:r>
      <w:proofErr w:type="spellStart"/>
      <w:r>
        <w:t>sent</w:t>
      </w:r>
      <w:proofErr w:type="spellEnd"/>
      <w:r>
        <w:t>. n. 02655 11 aprile 2022). Nel caso di specie, si trattava proprio di un servizio svolto nell’ambito di attività d’inchiesta e la decisione mette a repentaglio la concreta possibilità di svolgere indagini giornalistiche sulla base di fonti confidenziali.</w:t>
      </w:r>
      <w:r w:rsidR="00BA5214">
        <w:t xml:space="preserve"> </w:t>
      </w:r>
      <w:r>
        <w:t>Nel panorama giurisprudenziale, fortunatamente, tale pronuncia rimane un caso isolato. Sarebbe tuttavia opportuno che il legislatore prev</w:t>
      </w:r>
      <w:r w:rsidR="00227BC2">
        <w:t>edesse</w:t>
      </w:r>
      <w:r>
        <w:t xml:space="preserve"> come causa di esclusione dal diritto di accesso i casi di segretezza delle fonti giornalistiche.</w:t>
      </w:r>
    </w:p>
    <w:p w14:paraId="6A36CE1D" w14:textId="3C2E4A21" w:rsidR="009E347D" w:rsidRDefault="009E347D" w:rsidP="009E347D">
      <w:pPr>
        <w:jc w:val="both"/>
      </w:pPr>
      <w:r>
        <w:t>Per quanto riguarda, invece, l’esistenza di norme e pratiche che garantiscono l'indipendenza e la sicurezza dei giornalisti, merita opportuna riflessione una recente pronuncia del Giudice amministrativo italiano (TAR Lazio n. 883 del 16/1/2026) favorevole a Rai in materia di parità di accesso ai mezzi di informazione durante le campagne elettorali e referendarie. In particolare, le asserzioni di contenuto politico compiute da un filosofo e intellettuale francese di fama internazionale in una puntata andata in onda su Raitre il 19 settembre 2022 relativa al programma di approfondimento “Il Cavallo e la Torre” durante la campagna per le elezioni della Camera dei deputati e del Senato della Repubblica poi avvenute il giorno 25 settembre 2022 erano state oggetto di procedimento dell’Autorità per le garanzie nelle comunicazioni che aveva rilevato una violazione dei principi di pluralismo, obiettività, completezza, correttezza, lealtà ed imparzialità dell’informazione.</w:t>
      </w:r>
    </w:p>
    <w:p w14:paraId="538E1D5A" w14:textId="77777777" w:rsidR="009E347D" w:rsidRDefault="009E347D" w:rsidP="009E347D">
      <w:pPr>
        <w:jc w:val="both"/>
      </w:pPr>
      <w:r>
        <w:t xml:space="preserve">Con la sentenza sopra richiamata, il Giudice ha annullato il provvedimento dell’Autorità ritenendo che: </w:t>
      </w:r>
    </w:p>
    <w:p w14:paraId="0E08F857" w14:textId="77777777" w:rsidR="009E347D" w:rsidRDefault="009E347D" w:rsidP="009E347D">
      <w:pPr>
        <w:jc w:val="both"/>
      </w:pPr>
      <w:r>
        <w:t>(i)</w:t>
      </w:r>
      <w:r>
        <w:tab/>
        <w:t>la critica politica, anche quando aspra e polemica, costituisce esercizio di diritti costituzionalmente garantiti e non può essere assimilata a un'indicazione di voto;</w:t>
      </w:r>
    </w:p>
    <w:p w14:paraId="092BD1A3" w14:textId="77777777" w:rsidR="009E347D" w:rsidRDefault="009E347D" w:rsidP="009E347D">
      <w:pPr>
        <w:jc w:val="both"/>
      </w:pPr>
      <w:r>
        <w:t>(ii)</w:t>
      </w:r>
      <w:r>
        <w:tab/>
        <w:t xml:space="preserve">il conduttore ha </w:t>
      </w:r>
      <w:proofErr w:type="gramStart"/>
      <w:r>
        <w:t>posto in essere</w:t>
      </w:r>
      <w:proofErr w:type="gramEnd"/>
      <w:r>
        <w:t xml:space="preserve"> l'unica condotta ragionevolmente esigibile, prendendo in diretta le distanze dalle dichiarazioni dell'ospite; </w:t>
      </w:r>
    </w:p>
    <w:p w14:paraId="71161E3F" w14:textId="77777777" w:rsidR="009E347D" w:rsidRDefault="009E347D" w:rsidP="009E347D">
      <w:pPr>
        <w:jc w:val="both"/>
      </w:pPr>
      <w:r>
        <w:t>(iii)</w:t>
      </w:r>
      <w:r>
        <w:tab/>
        <w:t>non può essere addebitata alla Rai la mancata predisposizione di un meccanismo preventivo di riequilibrio per dichiarazioni il cui contenuto non era conoscibile in anticipo. Poiché il format del programma (intervista singola in diretta) non consentiva contraddittorio contestuale, il riequilibrio è effettivamente avvenuto il giorno immediatamente successivo attraverso l’intervista ad un altro intellettuale;</w:t>
      </w:r>
    </w:p>
    <w:p w14:paraId="0A027940" w14:textId="251DE4B7" w:rsidR="009E347D" w:rsidRDefault="009E347D" w:rsidP="00305092">
      <w:pPr>
        <w:jc w:val="both"/>
      </w:pPr>
      <w:r>
        <w:t>(i)</w:t>
      </w:r>
      <w:r>
        <w:tab/>
        <w:t>il pluralismo deve essere necessariamente valutato, oltre che nell'ambito della medesima trasmissione, anche nell'ambito di un ciclo di più trasmissioni, purché ciascuna di queste abbia analoghe opportunità di ascolto. Il pluralismo, infatti, si realizza attraverso la varietà delle voci e dei diversi punti di vista, non attraverso la simmetria degli eccessi.</w:t>
      </w:r>
    </w:p>
    <w:p w14:paraId="3AA43883" w14:textId="2F7653A0" w:rsidR="00860D94" w:rsidRDefault="00227BC2" w:rsidP="00305092">
      <w:pPr>
        <w:jc w:val="both"/>
      </w:pPr>
      <w:r>
        <w:lastRenderedPageBreak/>
        <w:t xml:space="preserve">Si segnala anche la recente approvazione di </w:t>
      </w:r>
      <w:r w:rsidR="000239D1">
        <w:t>una mozione parlamentare che impegna il Governo a rafforzare le tutele del diritto di cronaca, contrastare abusi nell’esercizio dello stesso e garantire una maggiore protezione dei soggetti coinvolti nei procedimenti penali, prevedendo anche un diritto alla riabilitazione della reputazione tramite la pubblicazione</w:t>
      </w:r>
      <w:r w:rsidR="00860D94">
        <w:t>,</w:t>
      </w:r>
      <w:r w:rsidR="000239D1">
        <w:t xml:space="preserve"> con pari evidenza</w:t>
      </w:r>
      <w:r w:rsidR="00860D94">
        <w:t>,</w:t>
      </w:r>
      <w:r w:rsidR="000239D1">
        <w:t xml:space="preserve"> delle notizie di assoluzione o proscioglimento.</w:t>
      </w:r>
    </w:p>
    <w:p w14:paraId="346964E6" w14:textId="77777777" w:rsidR="004140EC" w:rsidRDefault="004140EC" w:rsidP="00305092">
      <w:pPr>
        <w:jc w:val="both"/>
        <w:rPr>
          <w:i/>
          <w:iCs/>
          <w:u w:val="single"/>
        </w:rPr>
      </w:pPr>
    </w:p>
    <w:p w14:paraId="1E3D4483" w14:textId="2B2524AE" w:rsidR="002B48E3" w:rsidRPr="002B48E3" w:rsidRDefault="00917021" w:rsidP="00F16FB6">
      <w:pPr>
        <w:jc w:val="both"/>
        <w:rPr>
          <w:i/>
          <w:iCs/>
          <w:u w:val="single"/>
        </w:rPr>
      </w:pPr>
      <w:r w:rsidRPr="004140EC">
        <w:rPr>
          <w:i/>
          <w:iCs/>
          <w:u w:val="single"/>
        </w:rPr>
        <w:t>Sicurezza dei giornalisti</w:t>
      </w:r>
      <w:r w:rsidR="0046689B" w:rsidRPr="004140EC">
        <w:rPr>
          <w:i/>
          <w:iCs/>
          <w:u w:val="single"/>
        </w:rPr>
        <w:t xml:space="preserve"> </w:t>
      </w:r>
      <w:r w:rsidR="00554CD6" w:rsidRPr="004140EC">
        <w:rPr>
          <w:i/>
          <w:iCs/>
          <w:u w:val="single"/>
        </w:rPr>
        <w:t xml:space="preserve">Rai </w:t>
      </w:r>
      <w:r w:rsidR="0046689B" w:rsidRPr="004140EC">
        <w:rPr>
          <w:i/>
          <w:iCs/>
          <w:u w:val="single"/>
        </w:rPr>
        <w:t>–</w:t>
      </w:r>
      <w:r w:rsidR="00D10608" w:rsidRPr="00D10608">
        <w:t xml:space="preserve"> </w:t>
      </w:r>
      <w:r w:rsidR="00D10608" w:rsidRPr="00D10608">
        <w:rPr>
          <w:i/>
          <w:iCs/>
          <w:u w:val="single"/>
        </w:rPr>
        <w:t>Capacità delle forze dell’ordine, anche durante proteste e manifestazioni, di garantire la sicurezza dei giornalisti e di indagare sugli attacchi ai loro danni.</w:t>
      </w:r>
      <w:r w:rsidR="009F682F">
        <w:rPr>
          <w:i/>
          <w:iCs/>
          <w:u w:val="single"/>
        </w:rPr>
        <w:t xml:space="preserve"> </w:t>
      </w:r>
      <w:r w:rsidR="0046689B" w:rsidRPr="004140EC">
        <w:rPr>
          <w:i/>
          <w:iCs/>
          <w:u w:val="single"/>
        </w:rPr>
        <w:t xml:space="preserve"> </w:t>
      </w:r>
      <w:r w:rsidR="009F682F">
        <w:rPr>
          <w:i/>
          <w:iCs/>
          <w:u w:val="single"/>
        </w:rPr>
        <w:t>T</w:t>
      </w:r>
      <w:r w:rsidR="0046689B" w:rsidRPr="004140EC">
        <w:rPr>
          <w:i/>
          <w:iCs/>
          <w:u w:val="single"/>
        </w:rPr>
        <w:t>utela e indipendenza</w:t>
      </w:r>
    </w:p>
    <w:p w14:paraId="646680B1" w14:textId="758DEA66" w:rsidR="002B48E3" w:rsidRDefault="00416C93" w:rsidP="00110477">
      <w:pPr>
        <w:jc w:val="both"/>
      </w:pPr>
      <w:r w:rsidRPr="00416C93">
        <w:t>Rai collabora stabilmente con la Procura della Repubblica fornendo tutto il materiale utile alle indagini sulle aggressioni ai giornalisti. Un caso recente riguarda l’episodio del 14 ottobre 2025 a Udine, durante una manifestazione “pro Palestina” seguita da scontri: una giornalista Rai è stata colpita da un sasso riportando un ematoma guarito in dieci giorni, mentre un altro cronista di d</w:t>
      </w:r>
      <w:r w:rsidR="00417DB5">
        <w:t>i</w:t>
      </w:r>
      <w:r w:rsidRPr="00416C93">
        <w:t>versa testata ha subito lesioni più gravi. La Procura ha avviato le indagini preliminari, per le quali Rai ha già trasmesso i video necessari all’identificazione dei responsabili.</w:t>
      </w:r>
      <w:r w:rsidR="00417DB5">
        <w:t xml:space="preserve"> </w:t>
      </w:r>
      <w:r w:rsidR="00227055">
        <w:t>Si segnala anche</w:t>
      </w:r>
      <w:r w:rsidR="00F16FB6">
        <w:t xml:space="preserve"> l’attentato contro il giornalista Sigfrido Ranucci nell’ottobre 2025,</w:t>
      </w:r>
      <w:r w:rsidR="00D91830">
        <w:t xml:space="preserve"> a</w:t>
      </w:r>
      <w:r w:rsidR="00F16FB6">
        <w:t xml:space="preserve"> cui la RAI ha garantito pieno sostegno umano, legale e professionale, e il caso della corrispondente Stefania Battistini, oggetto di un mandato di arresto da parte del Ministero degli interni russo, per la quale l’azienda ha immediatamente attivato misure di sicurezza per lei e per il suo operatore.</w:t>
      </w:r>
    </w:p>
    <w:p w14:paraId="2664EAA8" w14:textId="1AA4BD8E" w:rsidR="00417DB5" w:rsidRPr="00DB3638" w:rsidRDefault="002B48E3" w:rsidP="00110477">
      <w:pPr>
        <w:jc w:val="both"/>
      </w:pPr>
      <w:r w:rsidRPr="002B48E3">
        <w:t>La Rai considera la tutela dei giornalisti una condizione essenziale per garantire integrità e indipendenza del Servizio Pubblico. In un contesto nazionale classificato a rischio medio</w:t>
      </w:r>
      <w:r w:rsidRPr="002B48E3">
        <w:rPr>
          <w:rFonts w:ascii="Cambria Math" w:hAnsi="Cambria Math" w:cs="Cambria Math"/>
        </w:rPr>
        <w:t>‑</w:t>
      </w:r>
      <w:r w:rsidRPr="002B48E3">
        <w:t>basso, dove oltre 20 giornalisti vivono sotto scorta, l</w:t>
      </w:r>
      <w:r w:rsidRPr="002B48E3">
        <w:rPr>
          <w:rFonts w:ascii="Aptos" w:hAnsi="Aptos" w:cs="Aptos"/>
        </w:rPr>
        <w:t>’</w:t>
      </w:r>
      <w:r w:rsidRPr="002B48E3">
        <w:t>azienda fonda la propria attivit</w:t>
      </w:r>
      <w:r w:rsidRPr="002B48E3">
        <w:rPr>
          <w:rFonts w:ascii="Aptos" w:hAnsi="Aptos" w:cs="Aptos"/>
        </w:rPr>
        <w:t>à</w:t>
      </w:r>
      <w:r w:rsidRPr="002B48E3">
        <w:t xml:space="preserve"> informativa su principi di indipendenza, responsabilit</w:t>
      </w:r>
      <w:r w:rsidRPr="002B48E3">
        <w:rPr>
          <w:rFonts w:ascii="Aptos" w:hAnsi="Aptos" w:cs="Aptos"/>
        </w:rPr>
        <w:t>à</w:t>
      </w:r>
      <w:r w:rsidRPr="002B48E3">
        <w:t xml:space="preserve"> e verifica delle fonti, sottraendosi a pressioni o indirizzi politici attraverso solide garanzie deontologiche e sindacali. </w:t>
      </w:r>
      <w:r w:rsidR="003B39A2">
        <w:t>Sotto questo profilo, a</w:t>
      </w:r>
      <w:r w:rsidRPr="002B48E3">
        <w:t xml:space="preserve">ccanto al sindacato storico USIGRAI, nel 2025 </w:t>
      </w:r>
      <w:r w:rsidRPr="002B48E3">
        <w:rPr>
          <w:rFonts w:ascii="Aptos" w:hAnsi="Aptos" w:cs="Aptos"/>
        </w:rPr>
        <w:t>è</w:t>
      </w:r>
      <w:r w:rsidRPr="002B48E3">
        <w:t xml:space="preserve"> nato UNIRAI, riconosciuto dall’azienda, a supporto dell’autonomia redazionale. </w:t>
      </w:r>
      <w:r w:rsidR="005617C6">
        <w:t>Infine, i</w:t>
      </w:r>
      <w:r w:rsidR="00110477">
        <w:t xml:space="preserve"> giornalisti sono inoltre formati in modo continuativo tramite corsi professionali, mentre il Codice Etico RAI e le policy sul trattamento dei dati in ambito giornalistico — conformi a GDPR e Codice Privacy — impongono obblighi stringenti di riservatezza, correttezza nell’uso delle informazioni e sicurezza informatica. </w:t>
      </w:r>
    </w:p>
    <w:p w14:paraId="53C9FF44" w14:textId="1BF0CD69" w:rsidR="00417DB5" w:rsidRPr="00500046" w:rsidRDefault="00BF1BCF" w:rsidP="00110477">
      <w:pPr>
        <w:jc w:val="both"/>
        <w:rPr>
          <w:i/>
          <w:iCs/>
          <w:u w:val="single"/>
        </w:rPr>
      </w:pPr>
      <w:r w:rsidRPr="00500046">
        <w:rPr>
          <w:i/>
          <w:iCs/>
          <w:u w:val="single"/>
        </w:rPr>
        <w:t xml:space="preserve">Accesso alle informazioni e ai documenti pubblici </w:t>
      </w:r>
    </w:p>
    <w:p w14:paraId="1F796549" w14:textId="77777777" w:rsidR="00417DB5" w:rsidRDefault="00417DB5" w:rsidP="00417DB5">
      <w:pPr>
        <w:jc w:val="both"/>
      </w:pPr>
      <w:r>
        <w:t xml:space="preserve">Per quanto riguarda l’accesso alle informazioni e ai documenti pubblici, si rammenta che, in Italia, l’istituto dell’accesso civico generalizzato (o accesso FOIA), previsto dall’art. 5 comma 2 del d.lgs. 14 marzo 2013 consente a ogni cittadino di richiedere dati, informazioni e documenti in possesso delle pubbliche amministrazioni. Per presentare la richiesta di accesso civico, non è necessario dimostrare un interesse qualificato: l’obiettivo dell’istituto è quello di favorire </w:t>
      </w:r>
      <w:r>
        <w:lastRenderedPageBreak/>
        <w:t>forme diffuse di controllo sul perseguimento delle funzioni istituzionali e sull'utilizzo delle risorse pubbliche e di promuovere la partecipazione al dibattito pubblico.</w:t>
      </w:r>
    </w:p>
    <w:p w14:paraId="0F2F736B" w14:textId="77777777" w:rsidR="00417DB5" w:rsidRDefault="00417DB5" w:rsidP="00417DB5">
      <w:pPr>
        <w:jc w:val="both"/>
      </w:pPr>
      <w:r>
        <w:t xml:space="preserve">Diversamente, se il cittadino ha un “interesse diretto, concreto e attuale”, collegato a una situazione giuridicamente tutelata e connessa al documento oggetto di richiesta di accesso, dovrà presentare un’istanza di accesso documentale (art. 22 e seguenti della legge 7 agosto 1990, n. 241). Il diritto di accesso è escluso in alcuni casi: ad esempio per i documenti coperti da segreto di Stato e nei casi di segreto o di divieto di divulgazione espressamente previsti dalla legge, nei confronti dell'attività della pubblica amministrazione diretta all’emanazione di atti normativi, amministrativi generali, di pianificazione e di programmazione; nei procedimenti selettivi, nei confronti dei documenti amministrativi contenenti informazioni di carattere psicoattitudinale relativi a terzi. </w:t>
      </w:r>
    </w:p>
    <w:p w14:paraId="2A6B97CE" w14:textId="77777777" w:rsidR="00417DB5" w:rsidRDefault="00417DB5" w:rsidP="00417DB5">
      <w:pPr>
        <w:jc w:val="both"/>
      </w:pPr>
      <w:r>
        <w:t xml:space="preserve">In merito all’esercizio dei </w:t>
      </w:r>
      <w:proofErr w:type="gramStart"/>
      <w:r>
        <w:t>predetti</w:t>
      </w:r>
      <w:proofErr w:type="gramEnd"/>
      <w:r>
        <w:t xml:space="preserve"> diritti da parte dei giornalisti Rai, si segnala che in alcuni casi i giornalisti del servizio pubblico hanno richiesto l’accesso civico generalizzato o l’accesso agli atti per acquisire fonti di informazioni presso autorità pubbliche indipendenti o pubbliche amministrazioni. Non sempre le amministrazioni destinatarie della richiesta hanno soddisfatto le richieste avanzate impedendo ai giornalisti di adempiere alla propria missione.</w:t>
      </w:r>
    </w:p>
    <w:p w14:paraId="7CAB7BB2" w14:textId="77777777" w:rsidR="00417DB5" w:rsidRDefault="00417DB5" w:rsidP="00417DB5">
      <w:pPr>
        <w:jc w:val="both"/>
      </w:pPr>
      <w:r>
        <w:t xml:space="preserve">In un caso, una giornalista ha presentato una istanza di accesso civico generalizzato, ex art. 5, co. 2, del D.lgs. n. 33 del 2013, al fine di poter conoscere una serie di documenti e informazioni per una indagine giornalistica in ordine alla gestione di risorse pubbliche da parte di un organo amministrativo che ha negato l’accesso ai documenti opponendo varie motivazioni e la giornalista ha dovuto ricorrere al giudice amministrativo (TAR Lazio </w:t>
      </w:r>
      <w:proofErr w:type="spellStart"/>
      <w:r>
        <w:t>rg</w:t>
      </w:r>
      <w:proofErr w:type="spellEnd"/>
      <w:r>
        <w:t xml:space="preserve"> n. 11894/2025) per il riconoscimento e l’esercizio dei propri diritti.</w:t>
      </w:r>
    </w:p>
    <w:p w14:paraId="59B54EE7" w14:textId="77777777" w:rsidR="00417DB5" w:rsidRDefault="00417DB5" w:rsidP="00417DB5">
      <w:pPr>
        <w:jc w:val="both"/>
      </w:pPr>
      <w:r>
        <w:t>In un altro caso, un’altra giornalista ha presentato istanze  di accesso civico generalizzato, ex art. 5 D.lgs. n. 33/2013, e di accesso agli atti ex art. 22 e seguenti della legge 7 agosto 1990, n. 241 ad enti della pubblica amministrazione al fine di poter conoscere una serie di documenti e informazioni per una indagine giornalistica su interventi edilizi abusivi e sottoposte a stringenti vincoli urbanistici e archeologici, di proprietà di società riconducibili anche ad una figura pubblica democraticamente eletta presso il Senato della Repubblica Italiana.</w:t>
      </w:r>
    </w:p>
    <w:p w14:paraId="0D95B41B" w14:textId="1BA0DBD9" w:rsidR="00417DB5" w:rsidRDefault="00417DB5" w:rsidP="00417DB5">
      <w:pPr>
        <w:jc w:val="both"/>
      </w:pPr>
      <w:r>
        <w:t>Le pubbliche amministrazioni hanno negato l’accesso ai documenti opponendo varie motivazioni e la giornalista ha dovuto richiedere il riesame delle decisioni ancora pendente.</w:t>
      </w:r>
    </w:p>
    <w:p w14:paraId="27E4752C" w14:textId="77777777" w:rsidR="00110477" w:rsidRDefault="00110477" w:rsidP="00EC4EC7">
      <w:pPr>
        <w:jc w:val="both"/>
        <w:rPr>
          <w:b/>
          <w:bCs/>
        </w:rPr>
      </w:pPr>
    </w:p>
    <w:p w14:paraId="7F184334" w14:textId="047C1955" w:rsidR="0046689B" w:rsidRPr="00847A6B" w:rsidRDefault="00917021" w:rsidP="00EC4EC7">
      <w:pPr>
        <w:jc w:val="both"/>
        <w:rPr>
          <w:i/>
          <w:iCs/>
          <w:u w:val="single"/>
        </w:rPr>
      </w:pPr>
      <w:r w:rsidRPr="00847A6B">
        <w:rPr>
          <w:i/>
          <w:iCs/>
          <w:u w:val="single"/>
        </w:rPr>
        <w:t>SLAPP</w:t>
      </w:r>
    </w:p>
    <w:p w14:paraId="3AF946D9" w14:textId="397BB321" w:rsidR="0046689B" w:rsidRDefault="00D32153" w:rsidP="00D32153">
      <w:pPr>
        <w:jc w:val="both"/>
      </w:pPr>
      <w:r>
        <w:t xml:space="preserve">In merito alle SLAPP (Strategic </w:t>
      </w:r>
      <w:proofErr w:type="spellStart"/>
      <w:r>
        <w:t>Litigation</w:t>
      </w:r>
      <w:proofErr w:type="spellEnd"/>
      <w:r>
        <w:t xml:space="preserve"> </w:t>
      </w:r>
      <w:proofErr w:type="spellStart"/>
      <w:r>
        <w:t>Against</w:t>
      </w:r>
      <w:proofErr w:type="spellEnd"/>
      <w:r>
        <w:t xml:space="preserve"> Public </w:t>
      </w:r>
      <w:proofErr w:type="spellStart"/>
      <w:r>
        <w:t>Participation</w:t>
      </w:r>
      <w:proofErr w:type="spellEnd"/>
      <w:r>
        <w:t>), Rai evidenzia</w:t>
      </w:r>
      <w:r w:rsidR="00A6780A">
        <w:t xml:space="preserve"> che </w:t>
      </w:r>
      <w:proofErr w:type="gramStart"/>
      <w:r w:rsidR="00A6780A">
        <w:t xml:space="preserve">sono </w:t>
      </w:r>
      <w:r>
        <w:t xml:space="preserve"> numerosi</w:t>
      </w:r>
      <w:proofErr w:type="gramEnd"/>
      <w:r>
        <w:t xml:space="preserve"> i procedimenti e i contenziosi in ambito civile, amministrativo e penale avviati in relazione a programmi di approfondimento informativo trasmessi da Rai; i </w:t>
      </w:r>
      <w:proofErr w:type="gramStart"/>
      <w:r>
        <w:t>predetti</w:t>
      </w:r>
      <w:proofErr w:type="gramEnd"/>
      <w:r>
        <w:t xml:space="preserve"> procedimenti/giudizi sono avviati anche su impulso di soggetti organici o comunque collegati a partiti o movimenti politici e, in numerosi casi, si riferiscono alla fattispecie della </w:t>
      </w:r>
      <w:r>
        <w:lastRenderedPageBreak/>
        <w:t>diffamazione.</w:t>
      </w:r>
      <w:r w:rsidR="00E550AD">
        <w:t xml:space="preserve"> </w:t>
      </w:r>
      <w:r>
        <w:t>Rai riconosce assistenza legale ai giornalisti, dipendenti e collaboratori coinvolti in procedimenti giudiziari civili, penali, amministrativi e contabili, promossi nei confronti di detti soggetti in conseguenza di atti e/o fatti occorsi in costanza del rapporto contrattuale con Rai e direttamente connessi con l’espletamento delle attività e degli incarichi ad essi affidati, ivi inclusi i procedimenti per diffamazione.</w:t>
      </w:r>
      <w:r w:rsidR="00E550AD">
        <w:t xml:space="preserve"> </w:t>
      </w:r>
      <w:r>
        <w:t>La Concessionaria fornisce l’assistenza legale mettendo a disposizione una “rosa” di legali ai fini dell’assistenza e difesa in giudizio. Ciò a significare che i giornalisti che prestano la propria attività per Rai sanno di poter contare su una tutela legale ampia e immediata, consapevolezza che li pone al riparo da preoccupazioni e condizionamenti dovuti al timore di conseguenze legali.</w:t>
      </w:r>
    </w:p>
    <w:p w14:paraId="03757607" w14:textId="77777777" w:rsidR="00417DB5" w:rsidRDefault="00417DB5" w:rsidP="00E52D50">
      <w:pPr>
        <w:jc w:val="both"/>
        <w:rPr>
          <w:i/>
          <w:iCs/>
          <w:u w:val="single"/>
        </w:rPr>
      </w:pPr>
    </w:p>
    <w:p w14:paraId="7DF7BBBC" w14:textId="1CFBD05E" w:rsidR="007926F4" w:rsidRDefault="00B975ED" w:rsidP="00E52D50">
      <w:pPr>
        <w:jc w:val="both"/>
      </w:pPr>
      <w:r w:rsidRPr="00B975ED">
        <w:rPr>
          <w:b/>
          <w:bCs/>
        </w:rPr>
        <w:t>Eventuali altri sviluppi relativi al pluralismo e alla libertà dei media</w:t>
      </w:r>
      <w:r w:rsidRPr="00B975ED">
        <w:t xml:space="preserve"> </w:t>
      </w:r>
    </w:p>
    <w:p w14:paraId="598F3D5A" w14:textId="77777777" w:rsidR="007926F4" w:rsidRPr="00414A7C" w:rsidRDefault="007926F4" w:rsidP="00E52D50">
      <w:pPr>
        <w:jc w:val="both"/>
        <w:rPr>
          <w:i/>
          <w:iCs/>
          <w:u w:val="single"/>
        </w:rPr>
      </w:pPr>
      <w:r w:rsidRPr="00414A7C">
        <w:rPr>
          <w:i/>
          <w:iCs/>
          <w:u w:val="single"/>
        </w:rPr>
        <w:t>Prominence</w:t>
      </w:r>
    </w:p>
    <w:p w14:paraId="69458ABD" w14:textId="2BB26326" w:rsidR="00E52D50" w:rsidRDefault="001C3AE2" w:rsidP="001C3AE2">
      <w:pPr>
        <w:jc w:val="both"/>
      </w:pPr>
      <w:r>
        <w:t>Nel novembre 2025 l’A</w:t>
      </w:r>
      <w:r w:rsidR="00643C32">
        <w:t>gcom</w:t>
      </w:r>
      <w:r>
        <w:t xml:space="preserve"> ha adottato la delibera 250/25/CONS, che aggiorna le linee guida sulla </w:t>
      </w:r>
      <w:r w:rsidRPr="00117ECD">
        <w:rPr>
          <w:i/>
          <w:iCs/>
        </w:rPr>
        <w:t>prominence</w:t>
      </w:r>
      <w:r>
        <w:t xml:space="preserve"> dei Servizi di Interesse Generale (SIG), definendo un quadro normativo volto a garantirne adeguata visibilità sulle TV connesse e sui sistemi radio con interfaccia utente o installati nei veicoli. La delibera esclude </w:t>
      </w:r>
      <w:proofErr w:type="gramStart"/>
      <w:r>
        <w:t>device</w:t>
      </w:r>
      <w:proofErr w:type="gramEnd"/>
      <w:r>
        <w:t xml:space="preserve"> come </w:t>
      </w:r>
      <w:r w:rsidR="00997B6D" w:rsidRPr="00997B6D">
        <w:t>Smartphone, Tablet, PC, Smart Speaker e Consolle videogiochi.</w:t>
      </w:r>
      <w:r>
        <w:t xml:space="preserve"> Per le TV connesse è previsto uno spazio dedicato nella home page composto da otto applicazioni: cinque riservate agli editori riconosciuti come SIG (tra cui Rai</w:t>
      </w:r>
      <w:r w:rsidR="00791AFF">
        <w:t xml:space="preserve"> in prima</w:t>
      </w:r>
      <w:r>
        <w:t xml:space="preserve"> posizione</w:t>
      </w:r>
      <w:r w:rsidR="00791AFF">
        <w:t>)</w:t>
      </w:r>
      <w:r>
        <w:t xml:space="preserve"> e tre destinate ad aggregatori (TV nazionali, TV locali e Radio SIG).</w:t>
      </w:r>
      <w:r w:rsidR="00663356">
        <w:t xml:space="preserve"> </w:t>
      </w:r>
      <w:r>
        <w:t>La disciplina sull’aggregatore Radio SIG, che include tutte le emittenti DVB</w:t>
      </w:r>
      <w:r>
        <w:rPr>
          <w:rFonts w:ascii="Cambria Math" w:hAnsi="Cambria Math" w:cs="Cambria Math"/>
        </w:rPr>
        <w:t>‑</w:t>
      </w:r>
      <w:r>
        <w:t>T/DVB</w:t>
      </w:r>
      <w:r>
        <w:rPr>
          <w:rFonts w:ascii="Cambria Math" w:hAnsi="Cambria Math" w:cs="Cambria Math"/>
        </w:rPr>
        <w:t>‑</w:t>
      </w:r>
      <w:r>
        <w:t>S ordinate alfabeticamente, rischia tuttavia di ridurre la visibilit</w:t>
      </w:r>
      <w:r>
        <w:rPr>
          <w:rFonts w:ascii="Aptos" w:hAnsi="Aptos" w:cs="Aptos"/>
        </w:rPr>
        <w:t>à</w:t>
      </w:r>
      <w:r>
        <w:t xml:space="preserve"> dei canali radio Rai a causa dell’elevato numero di emittenti coinvolte e del criterio di ordinamento.</w:t>
      </w:r>
      <w:r w:rsidR="00663356">
        <w:t xml:space="preserve"> </w:t>
      </w:r>
      <w:r>
        <w:t>Per i dispositivi radio e per i sistemi in</w:t>
      </w:r>
      <w:r>
        <w:rPr>
          <w:rFonts w:ascii="Cambria Math" w:hAnsi="Cambria Math" w:cs="Cambria Math"/>
        </w:rPr>
        <w:t>‑</w:t>
      </w:r>
      <w:r>
        <w:t>car infotainment, la delibera si limita a garantire l</w:t>
      </w:r>
      <w:r>
        <w:rPr>
          <w:rFonts w:ascii="Aptos" w:hAnsi="Aptos" w:cs="Aptos"/>
        </w:rPr>
        <w:t>’</w:t>
      </w:r>
      <w:r>
        <w:t xml:space="preserve">accesso agli ambienti FM/AM/DAB+ senza introdurre criteri di </w:t>
      </w:r>
      <w:r w:rsidRPr="00414A7C">
        <w:rPr>
          <w:i/>
          <w:iCs/>
        </w:rPr>
        <w:t>prominence</w:t>
      </w:r>
      <w:r>
        <w:t xml:space="preserve"> né priorità, con il rischio di penalizzare la radiofonia tradizionale e, in particolare, l’offerta radio/audio del Servizio Pubblico rispetto ai servizi audio degli OTT.</w:t>
      </w:r>
    </w:p>
    <w:p w14:paraId="4817DCC0" w14:textId="77777777" w:rsidR="00B61E84" w:rsidRPr="00B61E84" w:rsidRDefault="00B61E84" w:rsidP="00B61E84">
      <w:pPr>
        <w:ind w:firstLine="708"/>
        <w:jc w:val="both"/>
        <w:rPr>
          <w:b/>
          <w:bCs/>
        </w:rPr>
      </w:pPr>
      <w:r w:rsidRPr="00B61E84">
        <w:rPr>
          <w:b/>
          <w:bCs/>
        </w:rPr>
        <w:t>Risorse, pluralismo e sviluppo: la Rai come pilastro del comparto audiovisivo</w:t>
      </w:r>
    </w:p>
    <w:p w14:paraId="567C97E0" w14:textId="77777777" w:rsidR="00B61E84" w:rsidRDefault="00B61E84" w:rsidP="00B61E84">
      <w:pPr>
        <w:jc w:val="both"/>
      </w:pPr>
      <w:r>
        <w:t xml:space="preserve">Partendo dal presupposto, chiarito nei dettagli dalla documentazione presentata, che l’adempimento pieno della missione di Servizio Pubblico richiede la disponibilità di risorse adeguate, certe e continuative, indispensabili quindi a garantire la pianificazione strutturata dell’offerta, la capacità di sviluppo dell’azienda e la tutela dell’indipendenza editoriale, si evidenzia anche quanto il tema risorse assuma particolare rilievo soprattutto nel confronto con gli altri broadcaster pubblici europei. A fronte del finanziamento più basso, infatti, la Rai assicura un’ampiezza di offerta senza eguali, con un numero di canali superiore a quello dei principali competitor e con una piattaforma digitale, RaiPlay, dotata di un catalogo ricco e tra i più competitivi nel panorama europeo. </w:t>
      </w:r>
    </w:p>
    <w:p w14:paraId="04DB5C52" w14:textId="77777777" w:rsidR="00B61E84" w:rsidRDefault="00B61E84" w:rsidP="00B61E84">
      <w:pPr>
        <w:jc w:val="both"/>
      </w:pPr>
      <w:r>
        <w:t xml:space="preserve">La Rai sta completando la sua evoluzione in digital media company e attuando tutti gli obiettivi del nuovo piano industriale, operando in un contesto nazionale e internazionale sempre più </w:t>
      </w:r>
      <w:r>
        <w:lastRenderedPageBreak/>
        <w:t>sfidante che prevede il confronto con piattaforme globali dai modelli economici e industriali che rispondono a regole diverse. In questo quadro radicalmente mutato rispetto al passato, la Rai non tradisce mai la sua funzione essenziale di presidio culturale e narrativo, a tutela dell’identità e dell’immaginario nazionale, specie rispetto al rischio concreto di un racconto omologato e stereotipato del nostro Paese e della nostra storia, che potrebbe verificarsi se affidato soltanto ad altri soggetti.</w:t>
      </w:r>
    </w:p>
    <w:p w14:paraId="6E717780" w14:textId="77777777" w:rsidR="00B61E84" w:rsidRDefault="00B61E84" w:rsidP="00B61E84">
      <w:pPr>
        <w:jc w:val="both"/>
      </w:pPr>
      <w:r>
        <w:t xml:space="preserve">Resta centrale il ruolo della Rai quale perno della filiera audiovisiva nazionale con investimenti che generano ricadute positive diffuse sull’economia, sull’occupazione e sull’intero sistema produttivo. La forza della fiction, ad esempio, e le ultime coproduzioni internazionali di successo – si pensi a Il Conte di Montecristo - confermano la capacità della Rai di coniugare qualità editoriale e narrativa e prestigio internazionale, come anche il caso, unico in Europa, del Festival di Sanremo, complessa macchina di produzione interna e insieme massima espressione di ogni singolo reparto dell’azienda. Il tutto all’interno di un teatro di piccole dimensioni, possibile solo grazie a professionalità e tecnologie che solo questa azienda può vantare. </w:t>
      </w:r>
    </w:p>
    <w:p w14:paraId="12024ECE" w14:textId="77777777" w:rsidR="00B61E84" w:rsidRDefault="00B61E84" w:rsidP="00B61E84">
      <w:pPr>
        <w:jc w:val="both"/>
      </w:pPr>
      <w:r>
        <w:t>La Rai è l’emittente con il maggior numero di talenti attualmente in attività, oltre 150 e, in coerenza con la propria vocazione di Servizio Pubblico, investe con costanza e visione su programmi e artisti, favorendone la crescita professionale e la notorietà, con particolare attenzione a volti nuovi e giovani.</w:t>
      </w:r>
    </w:p>
    <w:p w14:paraId="7D95FE7D" w14:textId="77777777" w:rsidR="00B61E84" w:rsidRDefault="00B61E84" w:rsidP="00B61E84">
      <w:pPr>
        <w:jc w:val="both"/>
      </w:pPr>
      <w:r>
        <w:t xml:space="preserve">La solidità dell’azienda si riflette anche nella gestione delle risorse umane. In una fotografia di mercato segnata da processi di ridimensionamento, la Rai si distingue per aver rinnovato il Contratto Collettivo Nazionale di Lavoro ad oltre 9.600 lavoratrici e lavoratori, nonché realizzato una storica operazione di stabilizzazione di 127 giornalisti precari, rafforzando il capitale umano interno e confermando la centralità per il Servizio Pubblico dell’offerta informativa che, come previsto dal Contratto di Servizio 2023-2028, deve sempre mantenersi affidabile, credibile e di elevata qualità. Dal 2023, le ore di programmi di approfondimento e inchiesta registrano una crescita significativa, così come il numero dei titoli proposti. Considerando l’intera offerta delle testate, la Rai si colloca come il broadcaster pubblico europeo con la produzione informativa più ampia grazie a una struttura editoriale solida, articolata nelle testate nazionali e in una rete internazionale senza eguali - con 12 sedi estere e 22 corrispondenti attivi anche in contesti di crisi e conflitto - in grado di assicurare al pubblico una lettura critica, articolata e indipendente della realtà, nonché di garantire un’azione sistematica di contrasto alla disinformazione, anche rispetto alle dinamiche e alle distorsioni proprie dell’ecosistema digitale. </w:t>
      </w:r>
    </w:p>
    <w:p w14:paraId="7E50F073" w14:textId="77777777" w:rsidR="00B61E84" w:rsidRDefault="00B61E84" w:rsidP="00B61E84">
      <w:pPr>
        <w:jc w:val="both"/>
      </w:pPr>
      <w:r>
        <w:t>A ciò si affianca, e ci teniamo a sottolinearlo, il valore distintivo dell’informazione regionale che, attraverso la TGR, costituisce un unicum nel panorama europeo per capillarità, rilevanza territoriale e lavoro di inchiesta.</w:t>
      </w:r>
    </w:p>
    <w:p w14:paraId="0225737A" w14:textId="77777777" w:rsidR="00B61E84" w:rsidRDefault="00B61E84" w:rsidP="00B61E84">
      <w:pPr>
        <w:jc w:val="both"/>
      </w:pPr>
      <w:r>
        <w:t xml:space="preserve">A riprova che pluralismo e indipendenza dei media sono principi fondanti della missione di Servizio Pubblico, la Rai garantisce quotidianamente un ampio spettro di voci ed opinioni e un </w:t>
      </w:r>
      <w:r>
        <w:lastRenderedPageBreak/>
        <w:t xml:space="preserve">sostanziale equilibrio tra opposizioni e forze di maggioranza, come attestato anche dalle rilevazioni di Istituti terzi di garanzia e monitoraggio, quali l’Osservatorio di Pavia e l’Autorità per le Garanzie nelle Comunicazioni. </w:t>
      </w:r>
    </w:p>
    <w:p w14:paraId="39A59345" w14:textId="77777777" w:rsidR="00856D08" w:rsidRDefault="00856D08" w:rsidP="00B94EA7">
      <w:pPr>
        <w:jc w:val="both"/>
      </w:pPr>
    </w:p>
    <w:p w14:paraId="0F048AD2" w14:textId="77777777" w:rsidR="00856D08" w:rsidRDefault="00856D08" w:rsidP="00B94EA7">
      <w:pPr>
        <w:jc w:val="both"/>
      </w:pPr>
    </w:p>
    <w:p w14:paraId="1C781EB0" w14:textId="77777777" w:rsidR="00CA37B7" w:rsidRDefault="00CA37B7" w:rsidP="001354D3">
      <w:pPr>
        <w:jc w:val="both"/>
      </w:pPr>
    </w:p>
    <w:p w14:paraId="3150D544" w14:textId="77777777" w:rsidR="00CA37B7" w:rsidRDefault="00CA37B7" w:rsidP="001354D3">
      <w:pPr>
        <w:jc w:val="both"/>
      </w:pPr>
    </w:p>
    <w:p w14:paraId="2B8429E6" w14:textId="77777777" w:rsidR="00CA37B7" w:rsidRDefault="00CA37B7" w:rsidP="001354D3">
      <w:pPr>
        <w:jc w:val="both"/>
      </w:pPr>
    </w:p>
    <w:p w14:paraId="313E32FC" w14:textId="77777777" w:rsidR="0072419D" w:rsidRDefault="0072419D" w:rsidP="001354D3">
      <w:pPr>
        <w:jc w:val="both"/>
      </w:pPr>
    </w:p>
    <w:p w14:paraId="00C05A29" w14:textId="77777777" w:rsidR="00E83865" w:rsidRDefault="00E83865" w:rsidP="001354D3">
      <w:pPr>
        <w:jc w:val="both"/>
      </w:pPr>
    </w:p>
    <w:p w14:paraId="517787B4" w14:textId="77777777" w:rsidR="007258ED" w:rsidRDefault="007258ED" w:rsidP="007258ED">
      <w:pPr>
        <w:jc w:val="both"/>
      </w:pPr>
    </w:p>
    <w:p w14:paraId="0F6D7E78" w14:textId="77777777" w:rsidR="00250A6D" w:rsidRDefault="00250A6D" w:rsidP="00EC4EC7">
      <w:pPr>
        <w:jc w:val="both"/>
      </w:pPr>
    </w:p>
    <w:p w14:paraId="2C8F3012" w14:textId="77777777" w:rsidR="00250A6D" w:rsidRPr="001319DF" w:rsidRDefault="00250A6D" w:rsidP="00EC4EC7">
      <w:pPr>
        <w:jc w:val="both"/>
      </w:pPr>
    </w:p>
    <w:sectPr w:rsidR="00250A6D" w:rsidRPr="001319DF">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4CF79" w14:textId="77777777" w:rsidR="00C33BE4" w:rsidRDefault="00C33BE4" w:rsidP="0012610F">
      <w:pPr>
        <w:spacing w:after="0" w:line="240" w:lineRule="auto"/>
      </w:pPr>
      <w:r>
        <w:separator/>
      </w:r>
    </w:p>
  </w:endnote>
  <w:endnote w:type="continuationSeparator" w:id="0">
    <w:p w14:paraId="5C5DDFAC" w14:textId="77777777" w:rsidR="00C33BE4" w:rsidRDefault="00C33BE4" w:rsidP="00126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4740413"/>
      <w:docPartObj>
        <w:docPartGallery w:val="Page Numbers (Bottom of Page)"/>
        <w:docPartUnique/>
      </w:docPartObj>
    </w:sdtPr>
    <w:sdtEndPr/>
    <w:sdtContent>
      <w:p w14:paraId="41A2358D" w14:textId="57D25037" w:rsidR="0012610F" w:rsidRDefault="0012610F">
        <w:pPr>
          <w:pStyle w:val="Pidipagina"/>
        </w:pPr>
        <w:r>
          <w:fldChar w:fldCharType="begin"/>
        </w:r>
        <w:r>
          <w:instrText>PAGE   \* MERGEFORMAT</w:instrText>
        </w:r>
        <w:r>
          <w:fldChar w:fldCharType="separate"/>
        </w:r>
        <w:r>
          <w:t>2</w:t>
        </w:r>
        <w:r>
          <w:fldChar w:fldCharType="end"/>
        </w:r>
      </w:p>
    </w:sdtContent>
  </w:sdt>
  <w:p w14:paraId="5702DED4" w14:textId="77777777" w:rsidR="0012610F" w:rsidRDefault="0012610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98C5" w14:textId="77777777" w:rsidR="00C33BE4" w:rsidRDefault="00C33BE4" w:rsidP="0012610F">
      <w:pPr>
        <w:spacing w:after="0" w:line="240" w:lineRule="auto"/>
      </w:pPr>
      <w:r>
        <w:separator/>
      </w:r>
    </w:p>
  </w:footnote>
  <w:footnote w:type="continuationSeparator" w:id="0">
    <w:p w14:paraId="0C744495" w14:textId="77777777" w:rsidR="00C33BE4" w:rsidRDefault="00C33BE4" w:rsidP="001261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E7561"/>
    <w:multiLevelType w:val="hybridMultilevel"/>
    <w:tmpl w:val="AB905090"/>
    <w:lvl w:ilvl="0" w:tplc="4924416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46767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9DF"/>
    <w:rsid w:val="00000B09"/>
    <w:rsid w:val="00001168"/>
    <w:rsid w:val="000159DB"/>
    <w:rsid w:val="000167E7"/>
    <w:rsid w:val="00021755"/>
    <w:rsid w:val="000239D1"/>
    <w:rsid w:val="000366F8"/>
    <w:rsid w:val="00037A1C"/>
    <w:rsid w:val="000401CD"/>
    <w:rsid w:val="000429F1"/>
    <w:rsid w:val="0004367B"/>
    <w:rsid w:val="0004571D"/>
    <w:rsid w:val="00051613"/>
    <w:rsid w:val="00055E84"/>
    <w:rsid w:val="00057C2E"/>
    <w:rsid w:val="00064ACE"/>
    <w:rsid w:val="0006506A"/>
    <w:rsid w:val="000706CC"/>
    <w:rsid w:val="0007404C"/>
    <w:rsid w:val="000755CD"/>
    <w:rsid w:val="0007759F"/>
    <w:rsid w:val="00077B07"/>
    <w:rsid w:val="000847E0"/>
    <w:rsid w:val="00096119"/>
    <w:rsid w:val="000B13C9"/>
    <w:rsid w:val="000B2AC9"/>
    <w:rsid w:val="000B4CEA"/>
    <w:rsid w:val="000C45FE"/>
    <w:rsid w:val="000C4919"/>
    <w:rsid w:val="000C6D7A"/>
    <w:rsid w:val="000D1B29"/>
    <w:rsid w:val="000F0137"/>
    <w:rsid w:val="000F7A4B"/>
    <w:rsid w:val="0010133A"/>
    <w:rsid w:val="00104C1B"/>
    <w:rsid w:val="00110477"/>
    <w:rsid w:val="00111365"/>
    <w:rsid w:val="00113654"/>
    <w:rsid w:val="00114E42"/>
    <w:rsid w:val="00117ECD"/>
    <w:rsid w:val="00122F45"/>
    <w:rsid w:val="001247A3"/>
    <w:rsid w:val="001248B2"/>
    <w:rsid w:val="0012610F"/>
    <w:rsid w:val="001272A5"/>
    <w:rsid w:val="00130B2C"/>
    <w:rsid w:val="001319DF"/>
    <w:rsid w:val="001354D3"/>
    <w:rsid w:val="00141038"/>
    <w:rsid w:val="001614D8"/>
    <w:rsid w:val="001617D0"/>
    <w:rsid w:val="00166468"/>
    <w:rsid w:val="001739E2"/>
    <w:rsid w:val="00174FC1"/>
    <w:rsid w:val="00175374"/>
    <w:rsid w:val="00181CB2"/>
    <w:rsid w:val="00185A1C"/>
    <w:rsid w:val="001921E9"/>
    <w:rsid w:val="0019312D"/>
    <w:rsid w:val="001946B6"/>
    <w:rsid w:val="0019602B"/>
    <w:rsid w:val="001A0341"/>
    <w:rsid w:val="001A0829"/>
    <w:rsid w:val="001A3409"/>
    <w:rsid w:val="001B28F7"/>
    <w:rsid w:val="001C3AE2"/>
    <w:rsid w:val="001D7BFD"/>
    <w:rsid w:val="001E1337"/>
    <w:rsid w:val="001E7F8B"/>
    <w:rsid w:val="001F2DCB"/>
    <w:rsid w:val="0020113C"/>
    <w:rsid w:val="00204B33"/>
    <w:rsid w:val="00205D5A"/>
    <w:rsid w:val="00207414"/>
    <w:rsid w:val="002263BD"/>
    <w:rsid w:val="00227055"/>
    <w:rsid w:val="00227BC2"/>
    <w:rsid w:val="00230F12"/>
    <w:rsid w:val="002313A5"/>
    <w:rsid w:val="00233F04"/>
    <w:rsid w:val="00235839"/>
    <w:rsid w:val="00250A6D"/>
    <w:rsid w:val="00254713"/>
    <w:rsid w:val="00256A74"/>
    <w:rsid w:val="00261B11"/>
    <w:rsid w:val="00266E99"/>
    <w:rsid w:val="00270280"/>
    <w:rsid w:val="00276438"/>
    <w:rsid w:val="00283089"/>
    <w:rsid w:val="0029335B"/>
    <w:rsid w:val="00293B84"/>
    <w:rsid w:val="00295B85"/>
    <w:rsid w:val="002A23CF"/>
    <w:rsid w:val="002A5728"/>
    <w:rsid w:val="002B227C"/>
    <w:rsid w:val="002B48E3"/>
    <w:rsid w:val="002D3450"/>
    <w:rsid w:val="002D5B18"/>
    <w:rsid w:val="002E57D2"/>
    <w:rsid w:val="002F18FC"/>
    <w:rsid w:val="002F536E"/>
    <w:rsid w:val="002F786C"/>
    <w:rsid w:val="00301DF4"/>
    <w:rsid w:val="00303663"/>
    <w:rsid w:val="003048EF"/>
    <w:rsid w:val="00305092"/>
    <w:rsid w:val="0031027B"/>
    <w:rsid w:val="00317906"/>
    <w:rsid w:val="003249DA"/>
    <w:rsid w:val="0032544B"/>
    <w:rsid w:val="00332246"/>
    <w:rsid w:val="003343F2"/>
    <w:rsid w:val="0033677C"/>
    <w:rsid w:val="00342DFF"/>
    <w:rsid w:val="0034661F"/>
    <w:rsid w:val="00352F3D"/>
    <w:rsid w:val="003569B8"/>
    <w:rsid w:val="00360EED"/>
    <w:rsid w:val="00362586"/>
    <w:rsid w:val="00364001"/>
    <w:rsid w:val="0036551D"/>
    <w:rsid w:val="00373073"/>
    <w:rsid w:val="00377553"/>
    <w:rsid w:val="00380798"/>
    <w:rsid w:val="00381177"/>
    <w:rsid w:val="00387A30"/>
    <w:rsid w:val="00387AA6"/>
    <w:rsid w:val="0039095D"/>
    <w:rsid w:val="00391B35"/>
    <w:rsid w:val="003A7EB2"/>
    <w:rsid w:val="003B39A2"/>
    <w:rsid w:val="003B7BE0"/>
    <w:rsid w:val="003C0339"/>
    <w:rsid w:val="003C2A3B"/>
    <w:rsid w:val="003C6E0F"/>
    <w:rsid w:val="003D0985"/>
    <w:rsid w:val="003D602E"/>
    <w:rsid w:val="003D6593"/>
    <w:rsid w:val="003D7F1F"/>
    <w:rsid w:val="003E079F"/>
    <w:rsid w:val="003E4CF5"/>
    <w:rsid w:val="00401638"/>
    <w:rsid w:val="0041166B"/>
    <w:rsid w:val="004140EC"/>
    <w:rsid w:val="00414A7C"/>
    <w:rsid w:val="00416C93"/>
    <w:rsid w:val="00417DB5"/>
    <w:rsid w:val="00420B43"/>
    <w:rsid w:val="00422600"/>
    <w:rsid w:val="004235DF"/>
    <w:rsid w:val="00433E96"/>
    <w:rsid w:val="00453E4B"/>
    <w:rsid w:val="00457DE2"/>
    <w:rsid w:val="0046689B"/>
    <w:rsid w:val="00467A3A"/>
    <w:rsid w:val="00473B20"/>
    <w:rsid w:val="0049248F"/>
    <w:rsid w:val="004A2C54"/>
    <w:rsid w:val="004B1F0D"/>
    <w:rsid w:val="004D346B"/>
    <w:rsid w:val="004E5684"/>
    <w:rsid w:val="004E6F8A"/>
    <w:rsid w:val="004E7971"/>
    <w:rsid w:val="004F3A31"/>
    <w:rsid w:val="00500046"/>
    <w:rsid w:val="00521B06"/>
    <w:rsid w:val="00523D3E"/>
    <w:rsid w:val="0052549A"/>
    <w:rsid w:val="00531C61"/>
    <w:rsid w:val="00533DA9"/>
    <w:rsid w:val="0054583A"/>
    <w:rsid w:val="00554CD6"/>
    <w:rsid w:val="005617C6"/>
    <w:rsid w:val="005641AA"/>
    <w:rsid w:val="005747F1"/>
    <w:rsid w:val="00590E48"/>
    <w:rsid w:val="005951A7"/>
    <w:rsid w:val="005956F3"/>
    <w:rsid w:val="005A7B94"/>
    <w:rsid w:val="005B4DBB"/>
    <w:rsid w:val="005B7B40"/>
    <w:rsid w:val="005D26A9"/>
    <w:rsid w:val="005E4F84"/>
    <w:rsid w:val="005F0DB7"/>
    <w:rsid w:val="00604D09"/>
    <w:rsid w:val="00643C32"/>
    <w:rsid w:val="00647899"/>
    <w:rsid w:val="00662BB7"/>
    <w:rsid w:val="006631EC"/>
    <w:rsid w:val="00663356"/>
    <w:rsid w:val="0067163A"/>
    <w:rsid w:val="006719F6"/>
    <w:rsid w:val="00672B83"/>
    <w:rsid w:val="00673445"/>
    <w:rsid w:val="00674A27"/>
    <w:rsid w:val="006841D2"/>
    <w:rsid w:val="00690E29"/>
    <w:rsid w:val="00691655"/>
    <w:rsid w:val="006954F4"/>
    <w:rsid w:val="006A30C6"/>
    <w:rsid w:val="006B1565"/>
    <w:rsid w:val="006D179C"/>
    <w:rsid w:val="006D3097"/>
    <w:rsid w:val="006D4882"/>
    <w:rsid w:val="006D5E48"/>
    <w:rsid w:val="006D5ECE"/>
    <w:rsid w:val="006E48DE"/>
    <w:rsid w:val="006F7907"/>
    <w:rsid w:val="007142E8"/>
    <w:rsid w:val="007147BD"/>
    <w:rsid w:val="00714F1F"/>
    <w:rsid w:val="0071788A"/>
    <w:rsid w:val="0072392A"/>
    <w:rsid w:val="0072419D"/>
    <w:rsid w:val="007258ED"/>
    <w:rsid w:val="007273CA"/>
    <w:rsid w:val="007506E2"/>
    <w:rsid w:val="00755040"/>
    <w:rsid w:val="00764710"/>
    <w:rsid w:val="0078099C"/>
    <w:rsid w:val="00785F88"/>
    <w:rsid w:val="00791AFF"/>
    <w:rsid w:val="007926F4"/>
    <w:rsid w:val="00794479"/>
    <w:rsid w:val="007A3C22"/>
    <w:rsid w:val="007A6415"/>
    <w:rsid w:val="007A7F8E"/>
    <w:rsid w:val="007B586E"/>
    <w:rsid w:val="007C0294"/>
    <w:rsid w:val="007C13A8"/>
    <w:rsid w:val="007C36F5"/>
    <w:rsid w:val="007D3FDC"/>
    <w:rsid w:val="007D7E0A"/>
    <w:rsid w:val="007E0098"/>
    <w:rsid w:val="007E34FC"/>
    <w:rsid w:val="007F5BBE"/>
    <w:rsid w:val="007F7DFA"/>
    <w:rsid w:val="0080251B"/>
    <w:rsid w:val="00803867"/>
    <w:rsid w:val="00803B4A"/>
    <w:rsid w:val="0080470B"/>
    <w:rsid w:val="008061AF"/>
    <w:rsid w:val="00817018"/>
    <w:rsid w:val="0082344C"/>
    <w:rsid w:val="00837DE5"/>
    <w:rsid w:val="008440F3"/>
    <w:rsid w:val="00844766"/>
    <w:rsid w:val="00844CAB"/>
    <w:rsid w:val="00847A6B"/>
    <w:rsid w:val="00856D08"/>
    <w:rsid w:val="00860D94"/>
    <w:rsid w:val="00864ADC"/>
    <w:rsid w:val="00866E38"/>
    <w:rsid w:val="00880750"/>
    <w:rsid w:val="008A4703"/>
    <w:rsid w:val="008A59A5"/>
    <w:rsid w:val="008B58B5"/>
    <w:rsid w:val="008B72E0"/>
    <w:rsid w:val="008C2DB6"/>
    <w:rsid w:val="008C744E"/>
    <w:rsid w:val="008E2771"/>
    <w:rsid w:val="008E7554"/>
    <w:rsid w:val="008F4D60"/>
    <w:rsid w:val="008F5FEF"/>
    <w:rsid w:val="008F64CF"/>
    <w:rsid w:val="00902D57"/>
    <w:rsid w:val="00905C11"/>
    <w:rsid w:val="009109FD"/>
    <w:rsid w:val="009128C7"/>
    <w:rsid w:val="00915401"/>
    <w:rsid w:val="00917021"/>
    <w:rsid w:val="00917096"/>
    <w:rsid w:val="00923661"/>
    <w:rsid w:val="0092481D"/>
    <w:rsid w:val="00940149"/>
    <w:rsid w:val="0095767F"/>
    <w:rsid w:val="009579F1"/>
    <w:rsid w:val="00964A9C"/>
    <w:rsid w:val="00965183"/>
    <w:rsid w:val="00971CC3"/>
    <w:rsid w:val="00971DE1"/>
    <w:rsid w:val="00972B63"/>
    <w:rsid w:val="00977B9F"/>
    <w:rsid w:val="009807A0"/>
    <w:rsid w:val="0098084F"/>
    <w:rsid w:val="00984CFA"/>
    <w:rsid w:val="009924BF"/>
    <w:rsid w:val="00995466"/>
    <w:rsid w:val="00995D4A"/>
    <w:rsid w:val="00997B6D"/>
    <w:rsid w:val="009A468B"/>
    <w:rsid w:val="009A5CB6"/>
    <w:rsid w:val="009A7AA6"/>
    <w:rsid w:val="009B0835"/>
    <w:rsid w:val="009B24A7"/>
    <w:rsid w:val="009B6B87"/>
    <w:rsid w:val="009C353E"/>
    <w:rsid w:val="009C3FF8"/>
    <w:rsid w:val="009C5700"/>
    <w:rsid w:val="009D147C"/>
    <w:rsid w:val="009E347D"/>
    <w:rsid w:val="009E5C25"/>
    <w:rsid w:val="009F0BBA"/>
    <w:rsid w:val="009F3C47"/>
    <w:rsid w:val="009F48FA"/>
    <w:rsid w:val="009F53C5"/>
    <w:rsid w:val="009F5FB6"/>
    <w:rsid w:val="009F682F"/>
    <w:rsid w:val="00A01740"/>
    <w:rsid w:val="00A141DC"/>
    <w:rsid w:val="00A258FA"/>
    <w:rsid w:val="00A27507"/>
    <w:rsid w:val="00A41E18"/>
    <w:rsid w:val="00A433C3"/>
    <w:rsid w:val="00A53FB0"/>
    <w:rsid w:val="00A60024"/>
    <w:rsid w:val="00A6494E"/>
    <w:rsid w:val="00A66B71"/>
    <w:rsid w:val="00A6780A"/>
    <w:rsid w:val="00A70765"/>
    <w:rsid w:val="00A753BE"/>
    <w:rsid w:val="00A86215"/>
    <w:rsid w:val="00A92211"/>
    <w:rsid w:val="00AA0CB7"/>
    <w:rsid w:val="00AB0CB3"/>
    <w:rsid w:val="00AB3D77"/>
    <w:rsid w:val="00AB4375"/>
    <w:rsid w:val="00AC20A1"/>
    <w:rsid w:val="00AD3627"/>
    <w:rsid w:val="00AD403D"/>
    <w:rsid w:val="00AD5075"/>
    <w:rsid w:val="00AD7935"/>
    <w:rsid w:val="00AE617D"/>
    <w:rsid w:val="00AE797D"/>
    <w:rsid w:val="00AF022D"/>
    <w:rsid w:val="00AF6871"/>
    <w:rsid w:val="00B06002"/>
    <w:rsid w:val="00B063A1"/>
    <w:rsid w:val="00B11A06"/>
    <w:rsid w:val="00B12CC6"/>
    <w:rsid w:val="00B12FCB"/>
    <w:rsid w:val="00B23F2E"/>
    <w:rsid w:val="00B45A6C"/>
    <w:rsid w:val="00B463D3"/>
    <w:rsid w:val="00B541C6"/>
    <w:rsid w:val="00B5586E"/>
    <w:rsid w:val="00B61E84"/>
    <w:rsid w:val="00B67608"/>
    <w:rsid w:val="00B7340C"/>
    <w:rsid w:val="00B74E06"/>
    <w:rsid w:val="00B818B2"/>
    <w:rsid w:val="00B82BB2"/>
    <w:rsid w:val="00B93169"/>
    <w:rsid w:val="00B94CD9"/>
    <w:rsid w:val="00B94EA7"/>
    <w:rsid w:val="00B975ED"/>
    <w:rsid w:val="00B97B3E"/>
    <w:rsid w:val="00BA0C8E"/>
    <w:rsid w:val="00BA5214"/>
    <w:rsid w:val="00BB085A"/>
    <w:rsid w:val="00BB4FE7"/>
    <w:rsid w:val="00BC4EE6"/>
    <w:rsid w:val="00BD0C1B"/>
    <w:rsid w:val="00BD624C"/>
    <w:rsid w:val="00BD7915"/>
    <w:rsid w:val="00BE2693"/>
    <w:rsid w:val="00BF1BCF"/>
    <w:rsid w:val="00BF35BE"/>
    <w:rsid w:val="00C011A6"/>
    <w:rsid w:val="00C0150C"/>
    <w:rsid w:val="00C15702"/>
    <w:rsid w:val="00C33BE4"/>
    <w:rsid w:val="00C36F7B"/>
    <w:rsid w:val="00C42B1E"/>
    <w:rsid w:val="00C43FC7"/>
    <w:rsid w:val="00C45AD9"/>
    <w:rsid w:val="00C471BE"/>
    <w:rsid w:val="00C473EB"/>
    <w:rsid w:val="00C61D7C"/>
    <w:rsid w:val="00C61F5A"/>
    <w:rsid w:val="00C638C7"/>
    <w:rsid w:val="00C67D35"/>
    <w:rsid w:val="00C7216C"/>
    <w:rsid w:val="00C7775E"/>
    <w:rsid w:val="00C83856"/>
    <w:rsid w:val="00C90E48"/>
    <w:rsid w:val="00C954C9"/>
    <w:rsid w:val="00CA3762"/>
    <w:rsid w:val="00CA37B7"/>
    <w:rsid w:val="00CA68D6"/>
    <w:rsid w:val="00CB4E99"/>
    <w:rsid w:val="00CC2768"/>
    <w:rsid w:val="00CC69D9"/>
    <w:rsid w:val="00CD3F3C"/>
    <w:rsid w:val="00CD4A60"/>
    <w:rsid w:val="00CE16E7"/>
    <w:rsid w:val="00CE1BAC"/>
    <w:rsid w:val="00CE6211"/>
    <w:rsid w:val="00CE73F1"/>
    <w:rsid w:val="00D040BB"/>
    <w:rsid w:val="00D10608"/>
    <w:rsid w:val="00D23038"/>
    <w:rsid w:val="00D231A7"/>
    <w:rsid w:val="00D24F75"/>
    <w:rsid w:val="00D32153"/>
    <w:rsid w:val="00D371BF"/>
    <w:rsid w:val="00D4141A"/>
    <w:rsid w:val="00D43B36"/>
    <w:rsid w:val="00D4782C"/>
    <w:rsid w:val="00D54C00"/>
    <w:rsid w:val="00D57F0F"/>
    <w:rsid w:val="00D6011D"/>
    <w:rsid w:val="00D64588"/>
    <w:rsid w:val="00D64A79"/>
    <w:rsid w:val="00D7153F"/>
    <w:rsid w:val="00D72B80"/>
    <w:rsid w:val="00D81CC8"/>
    <w:rsid w:val="00D84B2B"/>
    <w:rsid w:val="00D90DD6"/>
    <w:rsid w:val="00D91830"/>
    <w:rsid w:val="00D93D14"/>
    <w:rsid w:val="00DA17C0"/>
    <w:rsid w:val="00DB3638"/>
    <w:rsid w:val="00DC06D0"/>
    <w:rsid w:val="00DC13FC"/>
    <w:rsid w:val="00DC16FA"/>
    <w:rsid w:val="00DC7294"/>
    <w:rsid w:val="00DC7670"/>
    <w:rsid w:val="00DE0096"/>
    <w:rsid w:val="00DE02FE"/>
    <w:rsid w:val="00DF4CF8"/>
    <w:rsid w:val="00E11C29"/>
    <w:rsid w:val="00E12642"/>
    <w:rsid w:val="00E2545D"/>
    <w:rsid w:val="00E52D50"/>
    <w:rsid w:val="00E530DD"/>
    <w:rsid w:val="00E550AD"/>
    <w:rsid w:val="00E659FA"/>
    <w:rsid w:val="00E662F7"/>
    <w:rsid w:val="00E77173"/>
    <w:rsid w:val="00E77913"/>
    <w:rsid w:val="00E83865"/>
    <w:rsid w:val="00E85F07"/>
    <w:rsid w:val="00E871CB"/>
    <w:rsid w:val="00EA1E56"/>
    <w:rsid w:val="00EA5F27"/>
    <w:rsid w:val="00EA7D6D"/>
    <w:rsid w:val="00EB7ACE"/>
    <w:rsid w:val="00EC27E6"/>
    <w:rsid w:val="00EC4B99"/>
    <w:rsid w:val="00EC4EC7"/>
    <w:rsid w:val="00EC6DBE"/>
    <w:rsid w:val="00ED42F4"/>
    <w:rsid w:val="00EE7084"/>
    <w:rsid w:val="00EF079A"/>
    <w:rsid w:val="00EF440F"/>
    <w:rsid w:val="00F15D70"/>
    <w:rsid w:val="00F15DCC"/>
    <w:rsid w:val="00F16FB6"/>
    <w:rsid w:val="00F22BC8"/>
    <w:rsid w:val="00F23F6B"/>
    <w:rsid w:val="00F345DD"/>
    <w:rsid w:val="00F35686"/>
    <w:rsid w:val="00F40463"/>
    <w:rsid w:val="00F42FF2"/>
    <w:rsid w:val="00F44B83"/>
    <w:rsid w:val="00F45F5D"/>
    <w:rsid w:val="00F47F39"/>
    <w:rsid w:val="00F62667"/>
    <w:rsid w:val="00F6546D"/>
    <w:rsid w:val="00F7266A"/>
    <w:rsid w:val="00F74A22"/>
    <w:rsid w:val="00F81A1B"/>
    <w:rsid w:val="00F8331E"/>
    <w:rsid w:val="00F83990"/>
    <w:rsid w:val="00F840C7"/>
    <w:rsid w:val="00F85961"/>
    <w:rsid w:val="00F85BCB"/>
    <w:rsid w:val="00F92B46"/>
    <w:rsid w:val="00FA044A"/>
    <w:rsid w:val="00FA6A0F"/>
    <w:rsid w:val="00FA7E29"/>
    <w:rsid w:val="00FB063B"/>
    <w:rsid w:val="00FD0318"/>
    <w:rsid w:val="00FD2BDD"/>
    <w:rsid w:val="00FF4774"/>
    <w:rsid w:val="00FF6BBB"/>
    <w:rsid w:val="00FF70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92AB"/>
  <w15:chartTrackingRefBased/>
  <w15:docId w15:val="{C7DFECBB-1A73-42C0-8D76-61C2F4846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319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319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319D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319D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319D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319D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319D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319D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319D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319D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319D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319D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319D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319D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319D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319D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319D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319DF"/>
    <w:rPr>
      <w:rFonts w:eastAsiaTheme="majorEastAsia" w:cstheme="majorBidi"/>
      <w:color w:val="272727" w:themeColor="text1" w:themeTint="D8"/>
    </w:rPr>
  </w:style>
  <w:style w:type="paragraph" w:styleId="Titolo">
    <w:name w:val="Title"/>
    <w:basedOn w:val="Normale"/>
    <w:next w:val="Normale"/>
    <w:link w:val="TitoloCarattere"/>
    <w:uiPriority w:val="10"/>
    <w:qFormat/>
    <w:rsid w:val="001319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319D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319D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319D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319D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319DF"/>
    <w:rPr>
      <w:i/>
      <w:iCs/>
      <w:color w:val="404040" w:themeColor="text1" w:themeTint="BF"/>
    </w:rPr>
  </w:style>
  <w:style w:type="paragraph" w:styleId="Paragrafoelenco">
    <w:name w:val="List Paragraph"/>
    <w:basedOn w:val="Normale"/>
    <w:uiPriority w:val="34"/>
    <w:qFormat/>
    <w:rsid w:val="001319DF"/>
    <w:pPr>
      <w:ind w:left="720"/>
      <w:contextualSpacing/>
    </w:pPr>
  </w:style>
  <w:style w:type="character" w:styleId="Enfasiintensa">
    <w:name w:val="Intense Emphasis"/>
    <w:basedOn w:val="Carpredefinitoparagrafo"/>
    <w:uiPriority w:val="21"/>
    <w:qFormat/>
    <w:rsid w:val="001319DF"/>
    <w:rPr>
      <w:i/>
      <w:iCs/>
      <w:color w:val="0F4761" w:themeColor="accent1" w:themeShade="BF"/>
    </w:rPr>
  </w:style>
  <w:style w:type="paragraph" w:styleId="Citazioneintensa">
    <w:name w:val="Intense Quote"/>
    <w:basedOn w:val="Normale"/>
    <w:next w:val="Normale"/>
    <w:link w:val="CitazioneintensaCarattere"/>
    <w:uiPriority w:val="30"/>
    <w:qFormat/>
    <w:rsid w:val="001319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319DF"/>
    <w:rPr>
      <w:i/>
      <w:iCs/>
      <w:color w:val="0F4761" w:themeColor="accent1" w:themeShade="BF"/>
    </w:rPr>
  </w:style>
  <w:style w:type="character" w:styleId="Riferimentointenso">
    <w:name w:val="Intense Reference"/>
    <w:basedOn w:val="Carpredefinitoparagrafo"/>
    <w:uiPriority w:val="32"/>
    <w:qFormat/>
    <w:rsid w:val="001319DF"/>
    <w:rPr>
      <w:b/>
      <w:bCs/>
      <w:smallCaps/>
      <w:color w:val="0F4761" w:themeColor="accent1" w:themeShade="BF"/>
      <w:spacing w:val="5"/>
    </w:rPr>
  </w:style>
  <w:style w:type="character" w:styleId="Collegamentoipertestuale">
    <w:name w:val="Hyperlink"/>
    <w:basedOn w:val="Carpredefinitoparagrafo"/>
    <w:uiPriority w:val="99"/>
    <w:unhideWhenUsed/>
    <w:rsid w:val="00D43B36"/>
    <w:rPr>
      <w:color w:val="467886" w:themeColor="hyperlink"/>
      <w:u w:val="single"/>
    </w:rPr>
  </w:style>
  <w:style w:type="character" w:styleId="Menzionenonrisolta">
    <w:name w:val="Unresolved Mention"/>
    <w:basedOn w:val="Carpredefinitoparagrafo"/>
    <w:uiPriority w:val="99"/>
    <w:semiHidden/>
    <w:unhideWhenUsed/>
    <w:rsid w:val="00D43B36"/>
    <w:rPr>
      <w:color w:val="605E5C"/>
      <w:shd w:val="clear" w:color="auto" w:fill="E1DFDD"/>
    </w:rPr>
  </w:style>
  <w:style w:type="paragraph" w:styleId="Revisione">
    <w:name w:val="Revision"/>
    <w:hidden/>
    <w:uiPriority w:val="99"/>
    <w:semiHidden/>
    <w:rsid w:val="00977B9F"/>
    <w:pPr>
      <w:spacing w:after="0" w:line="240" w:lineRule="auto"/>
    </w:pPr>
  </w:style>
  <w:style w:type="paragraph" w:styleId="Intestazione">
    <w:name w:val="header"/>
    <w:basedOn w:val="Normale"/>
    <w:link w:val="IntestazioneCarattere"/>
    <w:uiPriority w:val="99"/>
    <w:unhideWhenUsed/>
    <w:rsid w:val="0012610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2610F"/>
  </w:style>
  <w:style w:type="paragraph" w:styleId="Pidipagina">
    <w:name w:val="footer"/>
    <w:basedOn w:val="Normale"/>
    <w:link w:val="PidipaginaCarattere"/>
    <w:uiPriority w:val="99"/>
    <w:unhideWhenUsed/>
    <w:rsid w:val="001261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2610F"/>
  </w:style>
  <w:style w:type="character" w:styleId="Rimandocommento">
    <w:name w:val="annotation reference"/>
    <w:basedOn w:val="Carpredefinitoparagrafo"/>
    <w:uiPriority w:val="99"/>
    <w:semiHidden/>
    <w:unhideWhenUsed/>
    <w:rsid w:val="003D602E"/>
    <w:rPr>
      <w:sz w:val="16"/>
      <w:szCs w:val="16"/>
    </w:rPr>
  </w:style>
  <w:style w:type="paragraph" w:styleId="Testocommento">
    <w:name w:val="annotation text"/>
    <w:basedOn w:val="Normale"/>
    <w:link w:val="TestocommentoCarattere"/>
    <w:uiPriority w:val="99"/>
    <w:unhideWhenUsed/>
    <w:rsid w:val="003D602E"/>
    <w:pPr>
      <w:spacing w:line="240" w:lineRule="auto"/>
    </w:pPr>
    <w:rPr>
      <w:sz w:val="20"/>
      <w:szCs w:val="20"/>
    </w:rPr>
  </w:style>
  <w:style w:type="character" w:customStyle="1" w:styleId="TestocommentoCarattere">
    <w:name w:val="Testo commento Carattere"/>
    <w:basedOn w:val="Carpredefinitoparagrafo"/>
    <w:link w:val="Testocommento"/>
    <w:uiPriority w:val="99"/>
    <w:rsid w:val="003D602E"/>
    <w:rPr>
      <w:sz w:val="20"/>
      <w:szCs w:val="20"/>
    </w:rPr>
  </w:style>
  <w:style w:type="paragraph" w:styleId="Soggettocommento">
    <w:name w:val="annotation subject"/>
    <w:basedOn w:val="Testocommento"/>
    <w:next w:val="Testocommento"/>
    <w:link w:val="SoggettocommentoCarattere"/>
    <w:uiPriority w:val="99"/>
    <w:semiHidden/>
    <w:unhideWhenUsed/>
    <w:rsid w:val="003D602E"/>
    <w:rPr>
      <w:b/>
      <w:bCs/>
    </w:rPr>
  </w:style>
  <w:style w:type="character" w:customStyle="1" w:styleId="SoggettocommentoCarattere">
    <w:name w:val="Soggetto commento Carattere"/>
    <w:basedOn w:val="TestocommentoCarattere"/>
    <w:link w:val="Soggettocommento"/>
    <w:uiPriority w:val="99"/>
    <w:semiHidden/>
    <w:rsid w:val="003D60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gcom.it/comunicazione/comunicati-stampa/comunicato-stampa-6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5020</Words>
  <Characters>30625</Characters>
  <Application>Microsoft Office Word</Application>
  <DocSecurity>4</DocSecurity>
  <Lines>431</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Barozzi Elisabetta</dc:creator>
  <cp:keywords/>
  <dc:description/>
  <cp:lastModifiedBy>Barozzi Elisabetta</cp:lastModifiedBy>
  <cp:revision>2</cp:revision>
  <dcterms:created xsi:type="dcterms:W3CDTF">2026-01-23T13:20:00Z</dcterms:created>
  <dcterms:modified xsi:type="dcterms:W3CDTF">2026-01-23T13:20:00Z</dcterms:modified>
</cp:coreProperties>
</file>